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F92F" w14:textId="32713160" w:rsidR="00604203" w:rsidRDefault="00FE38C7" w:rsidP="0033627F">
      <w:pPr>
        <w:spacing w:after="0" w:line="240" w:lineRule="auto"/>
        <w:jc w:val="both"/>
        <w:rPr>
          <w:rFonts w:ascii="Times New Roman" w:hAnsi="Times New Roman" w:cs="Times New Roman"/>
          <w:b/>
          <w:bCs/>
        </w:rPr>
      </w:pPr>
      <w:r>
        <w:rPr>
          <w:rFonts w:ascii="Times New Roman" w:hAnsi="Times New Roman" w:cs="Times New Roman"/>
          <w:b/>
          <w:bCs/>
        </w:rPr>
        <w:t xml:space="preserve">Täiendatud seisukohad </w:t>
      </w:r>
      <w:r w:rsidR="00604203" w:rsidRPr="008F1615">
        <w:rPr>
          <w:rFonts w:ascii="Times New Roman" w:hAnsi="Times New Roman" w:cs="Times New Roman"/>
          <w:b/>
          <w:bCs/>
        </w:rPr>
        <w:t>Euroopa Parlamendi ja nõukogu direktiiv</w:t>
      </w:r>
      <w:r>
        <w:rPr>
          <w:rFonts w:ascii="Times New Roman" w:hAnsi="Times New Roman" w:cs="Times New Roman"/>
          <w:b/>
          <w:bCs/>
        </w:rPr>
        <w:t>i kohta</w:t>
      </w:r>
      <w:r w:rsidR="00604203" w:rsidRPr="008F1615">
        <w:rPr>
          <w:rFonts w:ascii="Times New Roman" w:hAnsi="Times New Roman" w:cs="Times New Roman"/>
          <w:b/>
          <w:bCs/>
        </w:rPr>
        <w:t xml:space="preserve">, milles käsitletakse </w:t>
      </w:r>
      <w:r w:rsidR="00AA7859">
        <w:rPr>
          <w:rFonts w:ascii="Times New Roman" w:hAnsi="Times New Roman" w:cs="Times New Roman"/>
          <w:b/>
          <w:bCs/>
        </w:rPr>
        <w:t>äriühingute</w:t>
      </w:r>
      <w:r w:rsidR="009D0CCC">
        <w:rPr>
          <w:rFonts w:ascii="Times New Roman" w:hAnsi="Times New Roman" w:cs="Times New Roman"/>
          <w:b/>
          <w:bCs/>
        </w:rPr>
        <w:t xml:space="preserve"> kohustusi inimõiguste ja keskkonna kaitsmise tagamiseks (äriühingu </w:t>
      </w:r>
      <w:proofErr w:type="spellStart"/>
      <w:r w:rsidR="009D0CCC">
        <w:rPr>
          <w:rFonts w:ascii="Times New Roman" w:hAnsi="Times New Roman" w:cs="Times New Roman"/>
          <w:b/>
          <w:bCs/>
        </w:rPr>
        <w:t>kestli</w:t>
      </w:r>
      <w:r w:rsidR="007C785C">
        <w:rPr>
          <w:rFonts w:ascii="Times New Roman" w:hAnsi="Times New Roman" w:cs="Times New Roman"/>
          <w:b/>
          <w:bCs/>
        </w:rPr>
        <w:t>k</w:t>
      </w:r>
      <w:r w:rsidR="00AA7859">
        <w:rPr>
          <w:rFonts w:ascii="Times New Roman" w:hAnsi="Times New Roman" w:cs="Times New Roman"/>
          <w:b/>
          <w:bCs/>
        </w:rPr>
        <w:t>kusalane</w:t>
      </w:r>
      <w:proofErr w:type="spellEnd"/>
      <w:r w:rsidR="009D0CCC">
        <w:rPr>
          <w:rFonts w:ascii="Times New Roman" w:hAnsi="Times New Roman" w:cs="Times New Roman"/>
          <w:b/>
          <w:bCs/>
        </w:rPr>
        <w:t xml:space="preserve"> hoolsuskohustus)</w:t>
      </w:r>
      <w:r w:rsidR="00604203" w:rsidRPr="008F1615">
        <w:rPr>
          <w:rFonts w:ascii="Times New Roman" w:hAnsi="Times New Roman" w:cs="Times New Roman"/>
          <w:b/>
          <w:bCs/>
        </w:rPr>
        <w:cr/>
      </w:r>
    </w:p>
    <w:p w14:paraId="6FEB5249" w14:textId="77777777" w:rsidR="00844AA6" w:rsidRDefault="00844AA6" w:rsidP="0033627F">
      <w:pPr>
        <w:spacing w:after="0" w:line="240" w:lineRule="auto"/>
        <w:jc w:val="both"/>
        <w:rPr>
          <w:rFonts w:ascii="Times New Roman" w:hAnsi="Times New Roman" w:cs="Times New Roman"/>
          <w:b/>
          <w:bCs/>
        </w:rPr>
      </w:pPr>
    </w:p>
    <w:tbl>
      <w:tblPr>
        <w:tblStyle w:val="Kontuurtabel"/>
        <w:tblW w:w="0" w:type="auto"/>
        <w:tblLook w:val="04A0" w:firstRow="1" w:lastRow="0" w:firstColumn="1" w:lastColumn="0" w:noHBand="0" w:noVBand="1"/>
      </w:tblPr>
      <w:tblGrid>
        <w:gridCol w:w="9062"/>
      </w:tblGrid>
      <w:tr w:rsidR="00844AA6" w14:paraId="5E080B2D" w14:textId="77777777" w:rsidTr="00844AA6">
        <w:tc>
          <w:tcPr>
            <w:tcW w:w="9062" w:type="dxa"/>
          </w:tcPr>
          <w:p w14:paraId="5F8F9457" w14:textId="62171210" w:rsidR="00844AA6" w:rsidRDefault="00844AA6" w:rsidP="00844AA6">
            <w:pPr>
              <w:jc w:val="both"/>
              <w:rPr>
                <w:rFonts w:ascii="Times New Roman" w:hAnsi="Times New Roman" w:cs="Times New Roman"/>
              </w:rPr>
            </w:pPr>
            <w:r w:rsidRPr="00B32F9E">
              <w:rPr>
                <w:rFonts w:ascii="Times New Roman" w:hAnsi="Times New Roman" w:cs="Times New Roman"/>
              </w:rPr>
              <w:t xml:space="preserve">Euroopa Komisjon </w:t>
            </w:r>
            <w:r w:rsidR="002853D6">
              <w:rPr>
                <w:rFonts w:ascii="Times New Roman" w:hAnsi="Times New Roman" w:cs="Times New Roman"/>
              </w:rPr>
              <w:t xml:space="preserve">esitas </w:t>
            </w:r>
            <w:r w:rsidRPr="00B32F9E">
              <w:rPr>
                <w:rFonts w:ascii="Times New Roman" w:hAnsi="Times New Roman" w:cs="Times New Roman"/>
              </w:rPr>
              <w:t xml:space="preserve">23.02.22 </w:t>
            </w:r>
            <w:r w:rsidR="0095480A" w:rsidRPr="00B32F9E">
              <w:rPr>
                <w:rFonts w:ascii="Times New Roman" w:hAnsi="Times New Roman" w:cs="Times New Roman"/>
              </w:rPr>
              <w:t>äriühingute</w:t>
            </w:r>
            <w:r w:rsidRPr="00B32F9E">
              <w:rPr>
                <w:rFonts w:ascii="Times New Roman" w:hAnsi="Times New Roman" w:cs="Times New Roman"/>
              </w:rPr>
              <w:t xml:space="preserve"> </w:t>
            </w:r>
            <w:proofErr w:type="spellStart"/>
            <w:r w:rsidRPr="00B32F9E">
              <w:rPr>
                <w:rFonts w:ascii="Times New Roman" w:hAnsi="Times New Roman" w:cs="Times New Roman"/>
              </w:rPr>
              <w:t>kestlik</w:t>
            </w:r>
            <w:r w:rsidR="0095480A" w:rsidRPr="00B32F9E">
              <w:rPr>
                <w:rFonts w:ascii="Times New Roman" w:hAnsi="Times New Roman" w:cs="Times New Roman"/>
              </w:rPr>
              <w:t>kusalase</w:t>
            </w:r>
            <w:proofErr w:type="spellEnd"/>
            <w:r w:rsidRPr="00B32F9E">
              <w:rPr>
                <w:rFonts w:ascii="Times New Roman" w:hAnsi="Times New Roman" w:cs="Times New Roman"/>
              </w:rPr>
              <w:t xml:space="preserve"> hoolsuskohustuse direktiivi eelnõu.</w:t>
            </w:r>
          </w:p>
          <w:p w14:paraId="6F77E067" w14:textId="77777777" w:rsidR="004F782F" w:rsidRPr="00B32F9E" w:rsidRDefault="004F782F" w:rsidP="00844AA6">
            <w:pPr>
              <w:jc w:val="both"/>
              <w:rPr>
                <w:rFonts w:ascii="Times New Roman" w:hAnsi="Times New Roman" w:cs="Times New Roman"/>
              </w:rPr>
            </w:pPr>
          </w:p>
          <w:p w14:paraId="7D7F427B" w14:textId="663D2877" w:rsidR="00844AA6" w:rsidRDefault="00844AA6" w:rsidP="00844AA6">
            <w:pPr>
              <w:jc w:val="both"/>
              <w:rPr>
                <w:rFonts w:ascii="Times New Roman" w:hAnsi="Times New Roman" w:cs="Times New Roman"/>
              </w:rPr>
            </w:pPr>
            <w:r w:rsidRPr="00B32F9E">
              <w:rPr>
                <w:rFonts w:ascii="Times New Roman" w:hAnsi="Times New Roman" w:cs="Times New Roman"/>
              </w:rPr>
              <w:t xml:space="preserve">Direktiivi eesmärk on seada </w:t>
            </w:r>
            <w:r w:rsidR="0095480A" w:rsidRPr="00B32F9E">
              <w:rPr>
                <w:rFonts w:ascii="Times New Roman" w:hAnsi="Times New Roman" w:cs="Times New Roman"/>
              </w:rPr>
              <w:t>äriühingutele</w:t>
            </w:r>
            <w:r w:rsidRPr="00B32F9E">
              <w:rPr>
                <w:rFonts w:ascii="Times New Roman" w:hAnsi="Times New Roman" w:cs="Times New Roman"/>
              </w:rPr>
              <w:t xml:space="preserve"> kohustus arvestada oma tegevuses inimõiguste ja keskkonna kaitsmise nõuetega. </w:t>
            </w:r>
            <w:r w:rsidR="0095480A" w:rsidRPr="00B32F9E">
              <w:rPr>
                <w:rFonts w:ascii="Times New Roman" w:hAnsi="Times New Roman" w:cs="Times New Roman"/>
              </w:rPr>
              <w:t>Äriühingud</w:t>
            </w:r>
            <w:r w:rsidRPr="00B32F9E">
              <w:rPr>
                <w:rFonts w:ascii="Times New Roman" w:hAnsi="Times New Roman" w:cs="Times New Roman"/>
              </w:rPr>
              <w:t xml:space="preserve"> peavad kaardistama inimõiguste ja keskkonna kahjustamise riskid ning rakendama </w:t>
            </w:r>
            <w:r w:rsidR="0095480A" w:rsidRPr="00B32F9E">
              <w:rPr>
                <w:rFonts w:ascii="Times New Roman" w:hAnsi="Times New Roman" w:cs="Times New Roman"/>
              </w:rPr>
              <w:t>oma</w:t>
            </w:r>
            <w:r w:rsidRPr="00B32F9E">
              <w:rPr>
                <w:rFonts w:ascii="Times New Roman" w:hAnsi="Times New Roman" w:cs="Times New Roman"/>
              </w:rPr>
              <w:t xml:space="preserve"> strateegiates meetmeid ja poliitikat nende maandamiseks ning kahjuliku tegevuse vähendamiseks, ennetamiseks ja lõpetamiseks.</w:t>
            </w:r>
          </w:p>
          <w:p w14:paraId="4E72868C" w14:textId="77777777" w:rsidR="004F782F" w:rsidRPr="00B32F9E" w:rsidRDefault="004F782F" w:rsidP="00844AA6">
            <w:pPr>
              <w:jc w:val="both"/>
              <w:rPr>
                <w:rFonts w:ascii="Times New Roman" w:hAnsi="Times New Roman" w:cs="Times New Roman"/>
              </w:rPr>
            </w:pPr>
          </w:p>
          <w:p w14:paraId="66FCCCF4" w14:textId="5346436F" w:rsidR="00844AA6" w:rsidRDefault="00844AA6" w:rsidP="00844AA6">
            <w:pPr>
              <w:jc w:val="both"/>
              <w:rPr>
                <w:rFonts w:ascii="Times New Roman" w:hAnsi="Times New Roman" w:cs="Times New Roman"/>
              </w:rPr>
            </w:pPr>
            <w:r w:rsidRPr="00B32F9E">
              <w:rPr>
                <w:rFonts w:ascii="Times New Roman" w:hAnsi="Times New Roman" w:cs="Times New Roman"/>
              </w:rPr>
              <w:t xml:space="preserve">Riik peab tagama järelevalve ja karistused ning tsiviilõigusliku vastutuse </w:t>
            </w:r>
            <w:proofErr w:type="spellStart"/>
            <w:r w:rsidRPr="00B32F9E">
              <w:rPr>
                <w:rFonts w:ascii="Times New Roman" w:hAnsi="Times New Roman" w:cs="Times New Roman"/>
              </w:rPr>
              <w:t>kestlik</w:t>
            </w:r>
            <w:r w:rsidR="0095480A" w:rsidRPr="00B32F9E">
              <w:rPr>
                <w:rFonts w:ascii="Times New Roman" w:hAnsi="Times New Roman" w:cs="Times New Roman"/>
              </w:rPr>
              <w:t>kusalase</w:t>
            </w:r>
            <w:proofErr w:type="spellEnd"/>
            <w:r w:rsidRPr="00B32F9E">
              <w:rPr>
                <w:rFonts w:ascii="Times New Roman" w:hAnsi="Times New Roman" w:cs="Times New Roman"/>
              </w:rPr>
              <w:t xml:space="preserve"> hoolsuskohustuse rikkumise tagajärjel tekitatud kahju eest.</w:t>
            </w:r>
          </w:p>
          <w:p w14:paraId="1D21636A" w14:textId="77777777" w:rsidR="004F782F" w:rsidRPr="00B32F9E" w:rsidRDefault="004F782F" w:rsidP="00844AA6">
            <w:pPr>
              <w:jc w:val="both"/>
              <w:rPr>
                <w:rFonts w:ascii="Times New Roman" w:hAnsi="Times New Roman" w:cs="Times New Roman"/>
              </w:rPr>
            </w:pPr>
          </w:p>
          <w:p w14:paraId="4AFC404A" w14:textId="77777777" w:rsidR="00844AA6" w:rsidRDefault="00844AA6" w:rsidP="00844AA6">
            <w:pPr>
              <w:jc w:val="both"/>
              <w:rPr>
                <w:rFonts w:ascii="Times New Roman" w:hAnsi="Times New Roman" w:cs="Times New Roman"/>
              </w:rPr>
            </w:pPr>
            <w:r w:rsidRPr="00B32F9E">
              <w:rPr>
                <w:rFonts w:ascii="Times New Roman" w:hAnsi="Times New Roman" w:cs="Times New Roman"/>
              </w:rPr>
              <w:t>Eesti seisukohad selle eelnõu kohta kinnitati 09.06.22 Vabariigi Valitsuse istungil (17.06.22 Riigikogu Euroopa Liidu asjade komisjonis). Eesti toetas seisukohtades direktiivi eesmärke, kuid leidis, et hoolsuskohustuse rakendamiseks on vaja selgemalt määratleda inimõiguste ja nendega seotud kohustuste sisu ning tõlgendamise pädevus.</w:t>
            </w:r>
          </w:p>
          <w:p w14:paraId="16DABBE2" w14:textId="77777777" w:rsidR="004F782F" w:rsidRPr="00B32F9E" w:rsidRDefault="004F782F" w:rsidP="00844AA6">
            <w:pPr>
              <w:jc w:val="both"/>
              <w:rPr>
                <w:rFonts w:ascii="Times New Roman" w:hAnsi="Times New Roman" w:cs="Times New Roman"/>
              </w:rPr>
            </w:pPr>
          </w:p>
          <w:p w14:paraId="66D6226C" w14:textId="194D7132" w:rsidR="00844AA6" w:rsidRDefault="00844AA6" w:rsidP="00844AA6">
            <w:pPr>
              <w:jc w:val="both"/>
              <w:rPr>
                <w:rFonts w:ascii="Times New Roman" w:hAnsi="Times New Roman" w:cs="Times New Roman"/>
              </w:rPr>
            </w:pPr>
            <w:r w:rsidRPr="00B32F9E">
              <w:rPr>
                <w:rFonts w:ascii="Times New Roman" w:hAnsi="Times New Roman" w:cs="Times New Roman"/>
              </w:rPr>
              <w:t>Kuivõrd eelnõu ei vastanud sellele tingimusele ka üldise lähenemisviisi kinnitamisel liikmesriikide poolt 2022. a detsembri konkurentsivõime nõukogu istungil, ei pidanud Eesti juba toona võimalikuks direktiivi toetada.</w:t>
            </w:r>
          </w:p>
          <w:p w14:paraId="58E38DFA" w14:textId="77777777" w:rsidR="004F782F" w:rsidRPr="00B32F9E" w:rsidRDefault="004F782F" w:rsidP="00844AA6">
            <w:pPr>
              <w:jc w:val="both"/>
              <w:rPr>
                <w:rFonts w:ascii="Times New Roman" w:hAnsi="Times New Roman" w:cs="Times New Roman"/>
              </w:rPr>
            </w:pPr>
          </w:p>
          <w:p w14:paraId="3FF3822B" w14:textId="0B7957D3" w:rsidR="00844AA6" w:rsidRDefault="00844AA6" w:rsidP="00844AA6">
            <w:pPr>
              <w:jc w:val="both"/>
              <w:rPr>
                <w:rFonts w:ascii="Times New Roman" w:hAnsi="Times New Roman" w:cs="Times New Roman"/>
              </w:rPr>
            </w:pPr>
            <w:r w:rsidRPr="00B32F9E">
              <w:rPr>
                <w:rFonts w:ascii="Times New Roman" w:hAnsi="Times New Roman" w:cs="Times New Roman"/>
              </w:rPr>
              <w:t>Euroopa Parlament ja eesistuja pidasid direktiivi üle läbirääkimisi ja saavutasid esialgse kokkuleppe, millele soovitakse liikmesriikide EL-i alaliste esindajate komitee istungil (</w:t>
            </w:r>
            <w:proofErr w:type="spellStart"/>
            <w:r w:rsidRPr="00B32F9E">
              <w:rPr>
                <w:rFonts w:ascii="Times New Roman" w:hAnsi="Times New Roman" w:cs="Times New Roman"/>
              </w:rPr>
              <w:t>Coreper</w:t>
            </w:r>
            <w:proofErr w:type="spellEnd"/>
            <w:r w:rsidRPr="00B32F9E">
              <w:rPr>
                <w:rFonts w:ascii="Times New Roman" w:hAnsi="Times New Roman" w:cs="Times New Roman"/>
              </w:rPr>
              <w:t xml:space="preserve">) heakskiitu. </w:t>
            </w:r>
          </w:p>
          <w:p w14:paraId="7C0996DC" w14:textId="77777777" w:rsidR="002853D6" w:rsidRPr="00B32F9E" w:rsidRDefault="002853D6" w:rsidP="00844AA6">
            <w:pPr>
              <w:jc w:val="both"/>
              <w:rPr>
                <w:rFonts w:ascii="Times New Roman" w:hAnsi="Times New Roman" w:cs="Times New Roman"/>
              </w:rPr>
            </w:pPr>
          </w:p>
          <w:p w14:paraId="7BD58BE7" w14:textId="2E274364" w:rsidR="00844AA6" w:rsidRDefault="00844AA6" w:rsidP="00844AA6">
            <w:pPr>
              <w:jc w:val="both"/>
              <w:rPr>
                <w:rFonts w:ascii="Times New Roman" w:hAnsi="Times New Roman" w:cs="Times New Roman"/>
              </w:rPr>
            </w:pPr>
            <w:r w:rsidRPr="00B32F9E">
              <w:rPr>
                <w:rFonts w:ascii="Times New Roman" w:hAnsi="Times New Roman" w:cs="Times New Roman"/>
              </w:rPr>
              <w:t>Hoolimata Eesti pingutustest kogu läbirääkimisperioodi vältel, ei õnnestunud kolmepoolsete läbirääkimiste käigus saavutada direktiivis tulemust, mis arvestaks Eesti huvidega ja vastaks Eesti senistele seisukohtadele.</w:t>
            </w:r>
            <w:r w:rsidR="002853D6">
              <w:rPr>
                <w:rFonts w:ascii="Times New Roman" w:hAnsi="Times New Roman" w:cs="Times New Roman"/>
              </w:rPr>
              <w:t xml:space="preserve"> </w:t>
            </w:r>
            <w:r w:rsidRPr="00B32F9E">
              <w:rPr>
                <w:rFonts w:ascii="Times New Roman" w:hAnsi="Times New Roman" w:cs="Times New Roman"/>
              </w:rPr>
              <w:t>Seetõttu esitatakse Vabariigi Valitsusele ja Riigikogule täiendavad seisukohad direktiivi lõppteksti kohta, et saada mandaat lõppteksti hääletusel erapooletuks jäämise kohta.</w:t>
            </w:r>
          </w:p>
          <w:p w14:paraId="73DBA9DD" w14:textId="77777777" w:rsidR="004F782F" w:rsidRPr="00B32F9E" w:rsidRDefault="004F782F" w:rsidP="00844AA6">
            <w:pPr>
              <w:jc w:val="both"/>
              <w:rPr>
                <w:rFonts w:ascii="Times New Roman" w:hAnsi="Times New Roman" w:cs="Times New Roman"/>
              </w:rPr>
            </w:pPr>
          </w:p>
          <w:p w14:paraId="18B7CB89" w14:textId="4995C9DF" w:rsidR="00844AA6" w:rsidRDefault="00844AA6" w:rsidP="00844AA6">
            <w:pPr>
              <w:jc w:val="both"/>
              <w:rPr>
                <w:rFonts w:ascii="Times New Roman" w:hAnsi="Times New Roman" w:cs="Times New Roman"/>
                <w:b/>
                <w:bCs/>
              </w:rPr>
            </w:pPr>
            <w:r w:rsidRPr="00B32F9E">
              <w:rPr>
                <w:rFonts w:ascii="Times New Roman" w:hAnsi="Times New Roman" w:cs="Times New Roman"/>
              </w:rPr>
              <w:t xml:space="preserve">Eesti on seisukohal, et hoolsuskohustuste sisu jääb ebaselgeks ja on seetõttu ebaproportsionaalselt koormav nii </w:t>
            </w:r>
            <w:r w:rsidR="0095480A" w:rsidRPr="00B32F9E">
              <w:rPr>
                <w:rFonts w:ascii="Times New Roman" w:hAnsi="Times New Roman" w:cs="Times New Roman"/>
              </w:rPr>
              <w:t>äriühingutele</w:t>
            </w:r>
            <w:r w:rsidRPr="00B32F9E">
              <w:rPr>
                <w:rFonts w:ascii="Times New Roman" w:hAnsi="Times New Roman" w:cs="Times New Roman"/>
              </w:rPr>
              <w:t xml:space="preserve"> kui ka riigile.</w:t>
            </w:r>
          </w:p>
        </w:tc>
      </w:tr>
    </w:tbl>
    <w:p w14:paraId="651E04A5" w14:textId="77777777" w:rsidR="00844AA6" w:rsidRDefault="00844AA6" w:rsidP="0033627F">
      <w:pPr>
        <w:spacing w:after="0" w:line="240" w:lineRule="auto"/>
        <w:jc w:val="both"/>
        <w:rPr>
          <w:rFonts w:ascii="Times New Roman" w:hAnsi="Times New Roman" w:cs="Times New Roman"/>
          <w:b/>
          <w:bCs/>
        </w:rPr>
      </w:pPr>
    </w:p>
    <w:p w14:paraId="4B1DBC4B" w14:textId="536B9B0E" w:rsidR="002D19FB" w:rsidRDefault="00B4713C" w:rsidP="00B522BB">
      <w:pPr>
        <w:jc w:val="both"/>
        <w:rPr>
          <w:rFonts w:ascii="Times New Roman" w:eastAsia="Times New Roman" w:hAnsi="Times New Roman" w:cs="Times New Roman"/>
          <w:b/>
          <w:bCs/>
        </w:rPr>
      </w:pPr>
      <w:r>
        <w:rPr>
          <w:rFonts w:ascii="Times New Roman" w:eastAsia="Times New Roman" w:hAnsi="Times New Roman" w:cs="Times New Roman"/>
          <w:b/>
          <w:bCs/>
        </w:rPr>
        <w:t>Taust</w:t>
      </w:r>
    </w:p>
    <w:p w14:paraId="7F3FE93A" w14:textId="1C252212" w:rsidR="00900056" w:rsidRPr="00900056" w:rsidRDefault="00900056" w:rsidP="00900056">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Euroopa Komisjon (edaspidi komisjon) algatas 23. veebruaril 2022. aastal  Euroopa Parlamendi ja nõukogu direktiivi äriühingute </w:t>
      </w:r>
      <w:proofErr w:type="spellStart"/>
      <w:r w:rsidRPr="00900056">
        <w:rPr>
          <w:rFonts w:ascii="Times New Roman" w:hAnsi="Times New Roman" w:cs="Times New Roman"/>
          <w:color w:val="000000"/>
          <w:lang w:eastAsia="et-EE"/>
        </w:rPr>
        <w:t>kestlik</w:t>
      </w:r>
      <w:r w:rsidR="00AA7859">
        <w:rPr>
          <w:rFonts w:ascii="Times New Roman" w:hAnsi="Times New Roman" w:cs="Times New Roman"/>
          <w:color w:val="000000"/>
          <w:lang w:eastAsia="et-EE"/>
        </w:rPr>
        <w:t>kusalase</w:t>
      </w:r>
      <w:proofErr w:type="spellEnd"/>
      <w:r w:rsidRPr="00900056">
        <w:rPr>
          <w:rFonts w:ascii="Times New Roman" w:hAnsi="Times New Roman" w:cs="Times New Roman"/>
          <w:color w:val="000000"/>
          <w:lang w:eastAsia="et-EE"/>
        </w:rPr>
        <w:t xml:space="preserve"> hoolsuskohustuse kehtestamiseks ja direktiivi (EL) 2019/1937 muutmiseks (edaspidi</w:t>
      </w:r>
      <w:r w:rsidR="00AA7859">
        <w:rPr>
          <w:rFonts w:ascii="Times New Roman" w:hAnsi="Times New Roman" w:cs="Times New Roman"/>
          <w:color w:val="000000"/>
          <w:lang w:eastAsia="et-EE"/>
        </w:rPr>
        <w:t xml:space="preserve"> äriühingute</w:t>
      </w:r>
      <w:r w:rsidRPr="00900056">
        <w:rPr>
          <w:rFonts w:ascii="Times New Roman" w:hAnsi="Times New Roman" w:cs="Times New Roman"/>
          <w:color w:val="000000"/>
          <w:lang w:eastAsia="et-EE"/>
        </w:rPr>
        <w:t xml:space="preserve"> </w:t>
      </w:r>
      <w:proofErr w:type="spellStart"/>
      <w:r w:rsidRPr="00900056">
        <w:rPr>
          <w:rFonts w:ascii="Times New Roman" w:hAnsi="Times New Roman" w:cs="Times New Roman"/>
          <w:color w:val="000000"/>
          <w:lang w:eastAsia="et-EE"/>
        </w:rPr>
        <w:t>kestlik</w:t>
      </w:r>
      <w:r w:rsidR="00AA7859">
        <w:rPr>
          <w:rFonts w:ascii="Times New Roman" w:hAnsi="Times New Roman" w:cs="Times New Roman"/>
          <w:color w:val="000000"/>
          <w:lang w:eastAsia="et-EE"/>
        </w:rPr>
        <w:t>kusalase</w:t>
      </w:r>
      <w:proofErr w:type="spellEnd"/>
      <w:r w:rsidRPr="00900056">
        <w:rPr>
          <w:rFonts w:ascii="Times New Roman" w:hAnsi="Times New Roman" w:cs="Times New Roman"/>
          <w:color w:val="000000"/>
          <w:lang w:eastAsia="et-EE"/>
        </w:rPr>
        <w:t xml:space="preserve"> hoolsuskohustuse direktiivi ettepanek</w:t>
      </w:r>
      <w:r w:rsidR="006534C3">
        <w:rPr>
          <w:rFonts w:ascii="Times New Roman" w:hAnsi="Times New Roman" w:cs="Times New Roman"/>
          <w:color w:val="000000"/>
          <w:lang w:eastAsia="et-EE"/>
        </w:rPr>
        <w:t xml:space="preserve"> või CSDD direktiiv</w:t>
      </w:r>
      <w:r w:rsidRPr="00900056">
        <w:rPr>
          <w:rFonts w:ascii="Times New Roman" w:hAnsi="Times New Roman" w:cs="Times New Roman"/>
          <w:color w:val="000000"/>
          <w:lang w:eastAsia="et-EE"/>
        </w:rPr>
        <w:t xml:space="preserve">). Eesti seisukohad selle eelnõu kohta kinnitati 9. juunil 2022. aastal Vabariigi Valitsuse istungil ning 17. juunil 2022. aastal Riigikogu Euroopa Liidu (edaspidi EL) asjade komisjonis. </w:t>
      </w:r>
    </w:p>
    <w:p w14:paraId="61FD772E" w14:textId="51944887" w:rsidR="00900056" w:rsidRPr="00900056" w:rsidRDefault="00900056" w:rsidP="00900056">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Äriühingute </w:t>
      </w:r>
      <w:proofErr w:type="spellStart"/>
      <w:r w:rsidR="00AA7859">
        <w:rPr>
          <w:rFonts w:ascii="Times New Roman" w:hAnsi="Times New Roman" w:cs="Times New Roman"/>
          <w:color w:val="000000"/>
          <w:lang w:eastAsia="et-EE"/>
        </w:rPr>
        <w:t>kestlikkusalase</w:t>
      </w:r>
      <w:proofErr w:type="spellEnd"/>
      <w:r w:rsidRPr="00900056">
        <w:rPr>
          <w:rFonts w:ascii="Times New Roman" w:hAnsi="Times New Roman" w:cs="Times New Roman"/>
          <w:color w:val="000000"/>
          <w:lang w:eastAsia="et-EE"/>
        </w:rPr>
        <w:t xml:space="preserve"> hoolsuskohustuse direktiivi eesmärgiks on edendada äriühingute kestlikku ja vastutustundlikku käitumist kõigis ülemaailmsetes väärtusahelates, kehtestades äriühingutele </w:t>
      </w:r>
      <w:r w:rsidR="00862ED1">
        <w:rPr>
          <w:rFonts w:ascii="Times New Roman" w:hAnsi="Times New Roman" w:cs="Times New Roman"/>
          <w:color w:val="000000"/>
          <w:lang w:eastAsia="et-EE"/>
        </w:rPr>
        <w:t>inimõiguste ja keskkonna kaitsmisega</w:t>
      </w:r>
      <w:r w:rsidRPr="00900056">
        <w:rPr>
          <w:rFonts w:ascii="Times New Roman" w:hAnsi="Times New Roman" w:cs="Times New Roman"/>
          <w:color w:val="000000"/>
          <w:lang w:eastAsia="et-EE"/>
        </w:rPr>
        <w:t xml:space="preserve"> seotud hoolsuskohustuse. </w:t>
      </w:r>
    </w:p>
    <w:p w14:paraId="3A0BE023" w14:textId="36759318" w:rsidR="00900056" w:rsidRPr="00900056" w:rsidRDefault="00900056" w:rsidP="00D93B0B">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Direktiiviga kaasnevad </w:t>
      </w:r>
      <w:r w:rsidR="00AA7859">
        <w:rPr>
          <w:rFonts w:ascii="Times New Roman" w:hAnsi="Times New Roman" w:cs="Times New Roman"/>
          <w:color w:val="000000"/>
          <w:lang w:eastAsia="et-EE"/>
        </w:rPr>
        <w:t>äriühingute</w:t>
      </w:r>
      <w:r w:rsidRPr="00900056">
        <w:rPr>
          <w:rFonts w:ascii="Times New Roman" w:hAnsi="Times New Roman" w:cs="Times New Roman"/>
          <w:color w:val="000000"/>
          <w:lang w:eastAsia="et-EE"/>
        </w:rPr>
        <w:t xml:space="preserve">le kohustused rakendada oma juhtimisstrateegiate ja haldussüsteemide kaudu meetmeid inimõiguste ja keskkonna alaste rikkumistega seotud kahjulike mõjude tuvastamiseks, leevendamiseks, lõpetamiseks ja ennetamiseks. Vastavate riskidega arvestamine, nende tuvastamise, maandamise, lõpetamise ja ennetamise meetmed, samuti kliimamuutuste vastu võitlemise meetmed tuleb </w:t>
      </w:r>
      <w:r w:rsidR="00AA7859">
        <w:rPr>
          <w:rFonts w:ascii="Times New Roman" w:hAnsi="Times New Roman" w:cs="Times New Roman"/>
          <w:color w:val="000000"/>
          <w:lang w:eastAsia="et-EE"/>
        </w:rPr>
        <w:t>äriühingute</w:t>
      </w:r>
      <w:r w:rsidRPr="00900056">
        <w:rPr>
          <w:rFonts w:ascii="Times New Roman" w:hAnsi="Times New Roman" w:cs="Times New Roman"/>
          <w:color w:val="000000"/>
          <w:lang w:eastAsia="et-EE"/>
        </w:rPr>
        <w:t xml:space="preserve"> strateegiatesse ja riskijuhtimisse sisse kirjutada ja neid regulaarselt hinnata (vähemalt iga 2 aasta järel) ja vajaduspõhiselt uuendada. </w:t>
      </w:r>
      <w:r w:rsidRPr="00900056">
        <w:rPr>
          <w:rFonts w:ascii="Times New Roman" w:hAnsi="Times New Roman" w:cs="Times New Roman"/>
          <w:color w:val="000000"/>
          <w:lang w:eastAsia="et-EE"/>
        </w:rPr>
        <w:lastRenderedPageBreak/>
        <w:t xml:space="preserve">Samuti tuleb </w:t>
      </w:r>
      <w:r w:rsidR="00044D4B">
        <w:rPr>
          <w:rFonts w:ascii="Times New Roman" w:hAnsi="Times New Roman" w:cs="Times New Roman"/>
          <w:color w:val="000000"/>
          <w:lang w:eastAsia="et-EE"/>
        </w:rPr>
        <w:t>äriühingus</w:t>
      </w:r>
      <w:r w:rsidR="00044D4B" w:rsidRPr="00900056">
        <w:rPr>
          <w:rFonts w:ascii="Times New Roman" w:hAnsi="Times New Roman" w:cs="Times New Roman"/>
          <w:color w:val="000000"/>
          <w:lang w:eastAsia="et-EE"/>
        </w:rPr>
        <w:t xml:space="preserve"> </w:t>
      </w:r>
      <w:r w:rsidRPr="00900056">
        <w:rPr>
          <w:rFonts w:ascii="Times New Roman" w:hAnsi="Times New Roman" w:cs="Times New Roman"/>
          <w:color w:val="000000"/>
          <w:lang w:eastAsia="et-EE"/>
        </w:rPr>
        <w:t>kehtestada rikkumistest teavitamise ning kaebuste menetlemise mehhanism. Lisaks enda tegevuste pidevale seirele (vähemalt iga 12 kuu järel) hoolsuskohustuse nõuete täitmise osas tuleb samade nõuete täitmist nõuda (ja seirata) ka oma tütar</w:t>
      </w:r>
      <w:r w:rsidR="00AA7859">
        <w:rPr>
          <w:rFonts w:ascii="Times New Roman" w:hAnsi="Times New Roman" w:cs="Times New Roman"/>
          <w:color w:val="000000"/>
          <w:lang w:eastAsia="et-EE"/>
        </w:rPr>
        <w:t>äriühingute</w:t>
      </w:r>
      <w:r w:rsidRPr="00900056">
        <w:rPr>
          <w:rFonts w:ascii="Times New Roman" w:hAnsi="Times New Roman" w:cs="Times New Roman"/>
          <w:color w:val="000000"/>
          <w:lang w:eastAsia="et-EE"/>
        </w:rPr>
        <w:t xml:space="preserve">lt ja kõikidelt oma tegevuste ahelasse (väärtusahelasse/tarneahelasse) kuuluvatelt </w:t>
      </w:r>
      <w:r w:rsidR="00AA7859">
        <w:rPr>
          <w:rFonts w:ascii="Times New Roman" w:hAnsi="Times New Roman" w:cs="Times New Roman"/>
          <w:color w:val="000000"/>
          <w:lang w:eastAsia="et-EE"/>
        </w:rPr>
        <w:t>äriühingute</w:t>
      </w:r>
      <w:r w:rsidRPr="00900056">
        <w:rPr>
          <w:rFonts w:ascii="Times New Roman" w:hAnsi="Times New Roman" w:cs="Times New Roman"/>
          <w:color w:val="000000"/>
          <w:lang w:eastAsia="et-EE"/>
        </w:rPr>
        <w:t>lt, sõltumata sellest, kas viimased ise kuuluvad CSDD direktiivi kohaldamisalasse või mitte.</w:t>
      </w:r>
    </w:p>
    <w:p w14:paraId="15570F86" w14:textId="2118153D" w:rsidR="00900056" w:rsidRPr="00900056" w:rsidRDefault="00900056" w:rsidP="00D93B0B">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Inimõiguste ja keskkonnaga seotud hoolsuskohustus on direktiivis sisustatud lisas sätestatud nõuete ja rahvusvaheliste instrumentide loetelu kaudu. Loetelus olevad rahvusvahelised instrumendid loovad kohustusi riikidele, kuid ei ole otsekohalduvad eraõiguslikele juriidilistele isikutele. Selleks, et nendest instrumentidest tulenevaid nõudeid hoolsuskohustuse raames äriühingutele rakendada, on tarvis nende põhjal sätestada siseriiklikus õiguses konkreetsed nõuded ja kohustused, mis on ettevõtjatele </w:t>
      </w:r>
      <w:proofErr w:type="spellStart"/>
      <w:r w:rsidR="00AA7859">
        <w:rPr>
          <w:rFonts w:ascii="Times New Roman" w:hAnsi="Times New Roman" w:cs="Times New Roman"/>
          <w:color w:val="000000"/>
          <w:lang w:eastAsia="et-EE"/>
        </w:rPr>
        <w:t>kestlikkusalase</w:t>
      </w:r>
      <w:proofErr w:type="spellEnd"/>
      <w:r w:rsidRPr="00900056">
        <w:rPr>
          <w:rFonts w:ascii="Times New Roman" w:hAnsi="Times New Roman" w:cs="Times New Roman"/>
          <w:color w:val="000000"/>
          <w:lang w:eastAsia="et-EE"/>
        </w:rPr>
        <w:t xml:space="preserve"> hoolsuskohustusena selgelt mõistetavad. </w:t>
      </w:r>
    </w:p>
    <w:p w14:paraId="0CD136EE" w14:textId="6B2F9654" w:rsidR="00900056" w:rsidRPr="00900056" w:rsidRDefault="00900056" w:rsidP="00D93B0B">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Riigile seatakse järelevalvekohustus, sh määrata tuleb üks või mitu järelevalveasutust, kelle ülesandeks on tagada erapooletu, sõltumatu ja läbipaistev järelevalve, mille käigus on tagatud (äri)saladuse hoidmine. Asutuse pädevuste hulka peab mh kuuluma: inspektsioon, rikkumiste menetlemine, ettekirjutuste tegemine (rikkumiste lõpetamiseks, kordumisest hoidumiseks, kahjude taastamiseks), karistuste määramine, õiguskaitsemeetmete rakendamine vahetu riski korral, kliimaplaanide koostamise ja vastuvõtmise alane nõustamine ja tugi. Eestis ei ole hetkel toimunud arutelusid, millisele asutusele panna järelevalvefunktsioon. M</w:t>
      </w:r>
      <w:r w:rsidR="002853D6">
        <w:rPr>
          <w:rFonts w:ascii="Times New Roman" w:hAnsi="Times New Roman" w:cs="Times New Roman"/>
          <w:color w:val="000000"/>
          <w:lang w:eastAsia="et-EE"/>
        </w:rPr>
        <w:t>ajandus- ja kommunikatsiooniministeerium</w:t>
      </w:r>
      <w:r w:rsidRPr="00900056">
        <w:rPr>
          <w:rFonts w:ascii="Times New Roman" w:hAnsi="Times New Roman" w:cs="Times New Roman"/>
          <w:color w:val="000000"/>
          <w:lang w:eastAsia="et-EE"/>
        </w:rPr>
        <w:t xml:space="preserve"> on hinnanud, et direktiivis ettenähtud järelevalvefunktsiooni täitmine eeldab olulisel määral lisaressursse (inimesed ja raha) ja seega paratamatult avaliku sektori kulude suurendamist. </w:t>
      </w:r>
    </w:p>
    <w:p w14:paraId="0DC39B89" w14:textId="5798D283" w:rsidR="00D93B0B" w:rsidRDefault="00900056" w:rsidP="00D93B0B">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Karistuseks hoolsuskohustuse rikkumise eest peab äriühingule olema ette nähtud rahaline karistus (maksimaalne karistusmäär peab olema vähemalt 5% ülemaailmsest aastakäibest) ja rikkuja andmete avaldamine. Hoolsuskohustuse rikkumiste eest peab olema võimalik kohaldada ka tsiviilõiguslikku vastutust. Direktiiv näeb ette, et ettevõtte vastutab tahtlikult või hooletusest tekitatud kahju eest, kui rikutud kohustuse/keelu eesmärk oli isikut sellise kahju eest kaitsta ja rikkumise tulemusena isikule kahju tekkis. Tegevuste ahelasse jääva äripartneri tekitatud kahju eest </w:t>
      </w:r>
      <w:r w:rsidR="00044D4B">
        <w:rPr>
          <w:rFonts w:ascii="Times New Roman" w:hAnsi="Times New Roman" w:cs="Times New Roman"/>
          <w:color w:val="000000"/>
          <w:lang w:eastAsia="et-EE"/>
        </w:rPr>
        <w:t>äriühing</w:t>
      </w:r>
      <w:r w:rsidR="00044D4B" w:rsidRPr="00900056">
        <w:rPr>
          <w:rFonts w:ascii="Times New Roman" w:hAnsi="Times New Roman" w:cs="Times New Roman"/>
          <w:color w:val="000000"/>
          <w:lang w:eastAsia="et-EE"/>
        </w:rPr>
        <w:t xml:space="preserve"> </w:t>
      </w:r>
      <w:r w:rsidRPr="00900056">
        <w:rPr>
          <w:rFonts w:ascii="Times New Roman" w:hAnsi="Times New Roman" w:cs="Times New Roman"/>
          <w:color w:val="000000"/>
          <w:lang w:eastAsia="et-EE"/>
        </w:rPr>
        <w:t xml:space="preserve">ei vastuta, kui ta ise kahju </w:t>
      </w:r>
      <w:r w:rsidR="00AA7859">
        <w:rPr>
          <w:rFonts w:ascii="Times New Roman" w:hAnsi="Times New Roman" w:cs="Times New Roman"/>
          <w:color w:val="000000"/>
          <w:lang w:eastAsia="et-EE"/>
        </w:rPr>
        <w:t>tekitamises ei osalenud</w:t>
      </w:r>
      <w:r w:rsidRPr="00900056">
        <w:rPr>
          <w:rFonts w:ascii="Times New Roman" w:hAnsi="Times New Roman" w:cs="Times New Roman"/>
          <w:color w:val="000000"/>
          <w:lang w:eastAsia="et-EE"/>
        </w:rPr>
        <w:t>. Kahju kanatanud isikul on õigus nõuda tsiviilvastutuse raames kahju täielikku kompenseerimist. Direktiivi sätetesse on lisatud ka tsiviilkohtumenetluse protsessi puudutavad nõuded, mille rakendamine tõenäoliselt eeldab vähemalt osaliselt siseriiklikus õiguses juba kehtiva tsiviilprotsessi reeglistiku muutmist või hoolsuskohustuse nõuete tarbeks nn paralleelse tsiviilprotsessi reeglistiku kehtestamist.</w:t>
      </w:r>
      <w:r w:rsidR="00D93B0B" w:rsidRPr="00D93B0B">
        <w:rPr>
          <w:rFonts w:ascii="Times New Roman" w:hAnsi="Times New Roman" w:cs="Times New Roman"/>
          <w:color w:val="000000"/>
          <w:lang w:eastAsia="et-EE"/>
        </w:rPr>
        <w:t xml:space="preserve"> </w:t>
      </w:r>
    </w:p>
    <w:p w14:paraId="7958B05B" w14:textId="7E56DE5C" w:rsidR="00900056" w:rsidRPr="00D93B0B" w:rsidRDefault="00862ED1" w:rsidP="00B32F9E">
      <w:pPr>
        <w:ind w:left="360"/>
        <w:jc w:val="both"/>
        <w:rPr>
          <w:rFonts w:ascii="Times New Roman" w:hAnsi="Times New Roman" w:cs="Times New Roman"/>
          <w:b/>
          <w:bCs/>
          <w:color w:val="000000"/>
          <w:lang w:eastAsia="et-EE"/>
        </w:rPr>
      </w:pPr>
      <w:r w:rsidRPr="00900056">
        <w:rPr>
          <w:rFonts w:ascii="Times New Roman" w:hAnsi="Times New Roman" w:cs="Times New Roman"/>
          <w:color w:val="000000"/>
          <w:lang w:eastAsia="et-EE"/>
        </w:rPr>
        <w:t>Algatuse arutelud toimusid töögruppides alates kevadest 2022</w:t>
      </w:r>
      <w:r w:rsidR="007C2086">
        <w:rPr>
          <w:rFonts w:ascii="Times New Roman" w:hAnsi="Times New Roman" w:cs="Times New Roman"/>
          <w:color w:val="000000"/>
          <w:lang w:eastAsia="et-EE"/>
        </w:rPr>
        <w:t xml:space="preserve"> ning</w:t>
      </w:r>
      <w:r w:rsidRPr="00900056">
        <w:rPr>
          <w:rFonts w:ascii="Times New Roman" w:hAnsi="Times New Roman" w:cs="Times New Roman"/>
          <w:color w:val="000000"/>
          <w:lang w:eastAsia="et-EE"/>
        </w:rPr>
        <w:t xml:space="preserve"> </w:t>
      </w:r>
      <w:r w:rsidR="00D93B0B" w:rsidRPr="00900056">
        <w:rPr>
          <w:rFonts w:ascii="Times New Roman" w:hAnsi="Times New Roman" w:cs="Times New Roman"/>
          <w:color w:val="000000"/>
          <w:lang w:eastAsia="et-EE"/>
        </w:rPr>
        <w:t xml:space="preserve">1. detsembril 2022 kiideti heaks  direktiivi üldine lähenemisviis. Eesti hääletas üldise lähenemisviisi heakskiitmise vastu, sest direktiiviga kehtestatavate hoolsuskohustuste sisu  ja ulatus (eelkõige inimõigustega seotud kohustuste osas) ei olnud direktiivis selgelt määratletud, mistõttu hindas Eesti probleemseks nende rikkumisele tsiviilõigusliku vastutuse kohaldamist (mh oleks ebamäärase kohustuse rikkumist tsiviilõigusliku vastutuse elementide alusel väga keeruline hinnata). </w:t>
      </w:r>
    </w:p>
    <w:p w14:paraId="260A92B2" w14:textId="331D4113" w:rsidR="00862ED1" w:rsidRDefault="00D93B0B" w:rsidP="007C785C">
      <w:pPr>
        <w:ind w:left="360"/>
        <w:jc w:val="both"/>
        <w:rPr>
          <w:rFonts w:ascii="Times New Roman" w:hAnsi="Times New Roman" w:cs="Times New Roman"/>
          <w:color w:val="000000"/>
          <w:lang w:eastAsia="et-EE"/>
        </w:rPr>
      </w:pPr>
      <w:r>
        <w:rPr>
          <w:rFonts w:ascii="Times New Roman" w:hAnsi="Times New Roman" w:cs="Times New Roman"/>
          <w:color w:val="000000"/>
          <w:lang w:eastAsia="et-EE"/>
        </w:rPr>
        <w:t>K</w:t>
      </w:r>
      <w:r w:rsidR="00900056" w:rsidRPr="00900056">
        <w:rPr>
          <w:rFonts w:ascii="Times New Roman" w:hAnsi="Times New Roman" w:cs="Times New Roman"/>
          <w:color w:val="000000"/>
          <w:lang w:eastAsia="et-EE"/>
        </w:rPr>
        <w:t>olmepoolsed läbirääkimised (</w:t>
      </w:r>
      <w:proofErr w:type="spellStart"/>
      <w:r w:rsidR="00900056" w:rsidRPr="00900056">
        <w:rPr>
          <w:rFonts w:ascii="Times New Roman" w:hAnsi="Times New Roman" w:cs="Times New Roman"/>
          <w:color w:val="000000"/>
          <w:lang w:eastAsia="et-EE"/>
        </w:rPr>
        <w:t>triloogid</w:t>
      </w:r>
      <w:proofErr w:type="spellEnd"/>
      <w:r w:rsidR="00900056" w:rsidRPr="00900056">
        <w:rPr>
          <w:rFonts w:ascii="Times New Roman" w:hAnsi="Times New Roman" w:cs="Times New Roman"/>
          <w:color w:val="000000"/>
          <w:lang w:eastAsia="et-EE"/>
        </w:rPr>
        <w:t xml:space="preserve">) </w:t>
      </w:r>
      <w:r>
        <w:rPr>
          <w:rFonts w:ascii="Times New Roman" w:hAnsi="Times New Roman" w:cs="Times New Roman"/>
          <w:color w:val="000000"/>
          <w:lang w:eastAsia="et-EE"/>
        </w:rPr>
        <w:t xml:space="preserve">direktiivi lõppteksti koostamiseks toimusid 2023. aastal ning lõpptekst valmis </w:t>
      </w:r>
      <w:r w:rsidR="00900056" w:rsidRPr="00900056">
        <w:rPr>
          <w:rFonts w:ascii="Times New Roman" w:hAnsi="Times New Roman" w:cs="Times New Roman"/>
          <w:color w:val="000000"/>
          <w:lang w:eastAsia="et-EE"/>
        </w:rPr>
        <w:t>jaanuaris 2024</w:t>
      </w:r>
      <w:r>
        <w:rPr>
          <w:rFonts w:ascii="Times New Roman" w:hAnsi="Times New Roman" w:cs="Times New Roman"/>
          <w:color w:val="000000"/>
          <w:lang w:eastAsia="et-EE"/>
        </w:rPr>
        <w:t xml:space="preserve">. </w:t>
      </w:r>
      <w:r w:rsidR="00900056" w:rsidRPr="00900056">
        <w:rPr>
          <w:rFonts w:ascii="Times New Roman" w:hAnsi="Times New Roman" w:cs="Times New Roman"/>
          <w:color w:val="000000"/>
          <w:lang w:eastAsia="et-EE"/>
        </w:rPr>
        <w:t xml:space="preserve">Hoolimata Eesti pingutustest kogu läbirääkimisperioodi vältel, ei õnnestunud </w:t>
      </w:r>
      <w:r w:rsidR="00900056">
        <w:rPr>
          <w:rFonts w:ascii="Times New Roman" w:hAnsi="Times New Roman" w:cs="Times New Roman"/>
          <w:color w:val="000000"/>
          <w:lang w:eastAsia="et-EE"/>
        </w:rPr>
        <w:t xml:space="preserve">ka </w:t>
      </w:r>
      <w:proofErr w:type="spellStart"/>
      <w:r w:rsidR="00862ED1">
        <w:rPr>
          <w:rFonts w:ascii="Times New Roman" w:hAnsi="Times New Roman" w:cs="Times New Roman"/>
          <w:color w:val="000000"/>
          <w:lang w:eastAsia="et-EE"/>
        </w:rPr>
        <w:t>triloogide</w:t>
      </w:r>
      <w:proofErr w:type="spellEnd"/>
      <w:r w:rsidR="00900056" w:rsidRPr="00900056">
        <w:rPr>
          <w:rFonts w:ascii="Times New Roman" w:hAnsi="Times New Roman" w:cs="Times New Roman"/>
          <w:color w:val="000000"/>
          <w:lang w:eastAsia="et-EE"/>
        </w:rPr>
        <w:t xml:space="preserve"> käigus saavutada direktiivis tulemust, mis arvestaks Eesti huvidega ja vastaks eelpoolviidatud Eesti seisukohtadele äriühingu </w:t>
      </w:r>
      <w:proofErr w:type="spellStart"/>
      <w:r w:rsidR="00AA7859">
        <w:rPr>
          <w:rFonts w:ascii="Times New Roman" w:hAnsi="Times New Roman" w:cs="Times New Roman"/>
          <w:color w:val="000000"/>
          <w:lang w:eastAsia="et-EE"/>
        </w:rPr>
        <w:t>kestlikkusalase</w:t>
      </w:r>
      <w:proofErr w:type="spellEnd"/>
      <w:r w:rsidR="00900056" w:rsidRPr="00900056">
        <w:rPr>
          <w:rFonts w:ascii="Times New Roman" w:hAnsi="Times New Roman" w:cs="Times New Roman"/>
          <w:color w:val="000000"/>
          <w:lang w:eastAsia="et-EE"/>
        </w:rPr>
        <w:t xml:space="preserve"> hoolsuskohustuse direktiivi eelnõu kohta. Eesti hinnangul ei ole direktiivi lõpptekstis lahenenud need mured, mis olid üldise lähenemisviisi hääletamisel antud vastuhääle põhjuseks.</w:t>
      </w:r>
      <w:r>
        <w:rPr>
          <w:rFonts w:ascii="Times New Roman" w:hAnsi="Times New Roman" w:cs="Times New Roman"/>
          <w:color w:val="000000"/>
          <w:lang w:eastAsia="et-EE"/>
        </w:rPr>
        <w:t xml:space="preserve"> </w:t>
      </w:r>
    </w:p>
    <w:p w14:paraId="796488EE" w14:textId="5D7BE676" w:rsidR="00911EDB" w:rsidRDefault="002852D7" w:rsidP="00911EDB">
      <w:pPr>
        <w:numPr>
          <w:ilvl w:val="2"/>
          <w:numId w:val="1"/>
        </w:numPr>
        <w:jc w:val="both"/>
        <w:rPr>
          <w:rFonts w:ascii="Times New Roman" w:hAnsi="Times New Roman" w:cs="Times New Roman"/>
          <w:b/>
          <w:bCs/>
          <w:color w:val="000000"/>
          <w:lang w:eastAsia="et-EE"/>
        </w:rPr>
      </w:pPr>
      <w:r w:rsidRPr="00B32F9E">
        <w:rPr>
          <w:rFonts w:ascii="Times New Roman" w:hAnsi="Times New Roman" w:cs="Times New Roman"/>
          <w:b/>
          <w:bCs/>
          <w:color w:val="000000"/>
          <w:lang w:eastAsia="et-EE"/>
        </w:rPr>
        <w:t xml:space="preserve">Eesti toetab direktiivi eelnõu üldisi </w:t>
      </w:r>
      <w:proofErr w:type="spellStart"/>
      <w:r w:rsidRPr="00B32F9E">
        <w:rPr>
          <w:rFonts w:ascii="Times New Roman" w:hAnsi="Times New Roman" w:cs="Times New Roman"/>
          <w:b/>
          <w:bCs/>
          <w:color w:val="000000"/>
          <w:lang w:eastAsia="et-EE"/>
        </w:rPr>
        <w:t>kestlikkusalaseid</w:t>
      </w:r>
      <w:proofErr w:type="spellEnd"/>
      <w:r w:rsidRPr="00B32F9E">
        <w:rPr>
          <w:rFonts w:ascii="Times New Roman" w:hAnsi="Times New Roman" w:cs="Times New Roman"/>
          <w:b/>
          <w:bCs/>
          <w:color w:val="000000"/>
          <w:lang w:eastAsia="et-EE"/>
        </w:rPr>
        <w:t xml:space="preserve"> eesmärke ja peab oluliseks inimõiguste ja keskkonnakaitse tagamist äritegevuses.</w:t>
      </w:r>
    </w:p>
    <w:p w14:paraId="0DFE2E79" w14:textId="182C960E" w:rsidR="00911EDB" w:rsidRPr="00911EDB" w:rsidRDefault="00911EDB" w:rsidP="00911EDB">
      <w:pPr>
        <w:ind w:left="360"/>
        <w:jc w:val="both"/>
        <w:rPr>
          <w:rFonts w:ascii="Times New Roman" w:hAnsi="Times New Roman" w:cs="Times New Roman"/>
          <w:color w:val="000000"/>
          <w:lang w:eastAsia="et-EE"/>
        </w:rPr>
      </w:pPr>
      <w:r>
        <w:rPr>
          <w:rFonts w:ascii="Times New Roman" w:hAnsi="Times New Roman" w:cs="Times New Roman"/>
          <w:b/>
          <w:bCs/>
          <w:color w:val="000000"/>
          <w:lang w:eastAsia="et-EE"/>
        </w:rPr>
        <w:lastRenderedPageBreak/>
        <w:t xml:space="preserve">Selgitus: </w:t>
      </w:r>
      <w:r>
        <w:rPr>
          <w:rFonts w:ascii="Times New Roman" w:hAnsi="Times New Roman" w:cs="Times New Roman"/>
          <w:color w:val="000000"/>
          <w:lang w:eastAsia="et-EE"/>
        </w:rPr>
        <w:t xml:space="preserve">Eesti ei alahinda ega pisenda vajadust inimõiguste ja keskkonna suurema kaitse järele äriühingute igapäevases tegevuses. Siiski leiame, et äriühingute </w:t>
      </w:r>
      <w:proofErr w:type="spellStart"/>
      <w:r>
        <w:rPr>
          <w:rFonts w:ascii="Times New Roman" w:hAnsi="Times New Roman" w:cs="Times New Roman"/>
          <w:color w:val="000000"/>
          <w:lang w:eastAsia="et-EE"/>
        </w:rPr>
        <w:t>kestlikkusalase</w:t>
      </w:r>
      <w:proofErr w:type="spellEnd"/>
      <w:r>
        <w:rPr>
          <w:rFonts w:ascii="Times New Roman" w:hAnsi="Times New Roman" w:cs="Times New Roman"/>
          <w:color w:val="000000"/>
          <w:lang w:eastAsia="et-EE"/>
        </w:rPr>
        <w:t xml:space="preserve"> hoolsuskohustuse direktiivi sellekohased eesmärgid tuleb saavutada selgesti mõistetavate ja praktikas rakendatavate  meetmetega, mis oma </w:t>
      </w:r>
      <w:proofErr w:type="spellStart"/>
      <w:r>
        <w:rPr>
          <w:rFonts w:ascii="Times New Roman" w:hAnsi="Times New Roman" w:cs="Times New Roman"/>
          <w:color w:val="000000"/>
          <w:lang w:eastAsia="et-EE"/>
        </w:rPr>
        <w:t>tõhustusega</w:t>
      </w:r>
      <w:proofErr w:type="spellEnd"/>
      <w:r>
        <w:rPr>
          <w:rFonts w:ascii="Times New Roman" w:hAnsi="Times New Roman" w:cs="Times New Roman"/>
          <w:color w:val="000000"/>
          <w:lang w:eastAsia="et-EE"/>
        </w:rPr>
        <w:t xml:space="preserve"> õigustaks lisanduvat halduskoormust nii äriühingutele kui ka riigile. </w:t>
      </w:r>
    </w:p>
    <w:p w14:paraId="28974C62" w14:textId="7A1BFB00" w:rsidR="002852D7" w:rsidRPr="00B32F9E" w:rsidRDefault="002852D7" w:rsidP="00B32F9E">
      <w:pPr>
        <w:numPr>
          <w:ilvl w:val="2"/>
          <w:numId w:val="1"/>
        </w:numPr>
        <w:jc w:val="both"/>
        <w:rPr>
          <w:rFonts w:ascii="Times New Roman" w:hAnsi="Times New Roman" w:cs="Times New Roman"/>
          <w:b/>
          <w:bCs/>
          <w:color w:val="000000"/>
          <w:lang w:eastAsia="et-EE"/>
        </w:rPr>
      </w:pPr>
      <w:r w:rsidRPr="00B32F9E">
        <w:rPr>
          <w:rFonts w:ascii="Times New Roman" w:hAnsi="Times New Roman" w:cs="Times New Roman"/>
          <w:b/>
          <w:bCs/>
          <w:color w:val="000000"/>
          <w:lang w:eastAsia="et-EE"/>
        </w:rPr>
        <w:t xml:space="preserve">Eesti ei toeta direktiivi eesmärkide täitmiseks ebaselge sisu ja ulatusega kohustuste ning vastutuse kehtestamist, mis suurendaks põhjendamatult ja ebaproportsionaalselt nii äriühingute kui ka riigi halduskoormust. </w:t>
      </w:r>
    </w:p>
    <w:p w14:paraId="568DDBBF" w14:textId="1E5BD70E" w:rsidR="00CC7C81" w:rsidRPr="00CC7C81" w:rsidRDefault="00CC7C81" w:rsidP="00DA1E22">
      <w:pPr>
        <w:ind w:left="360"/>
        <w:jc w:val="both"/>
        <w:rPr>
          <w:rFonts w:ascii="Times New Roman" w:hAnsi="Times New Roman" w:cs="Times New Roman"/>
          <w:color w:val="000000"/>
          <w:lang w:eastAsia="et-EE"/>
        </w:rPr>
      </w:pPr>
      <w:r w:rsidRPr="00B32F9E">
        <w:rPr>
          <w:rFonts w:ascii="Times New Roman" w:hAnsi="Times New Roman" w:cs="Times New Roman"/>
          <w:b/>
          <w:bCs/>
          <w:color w:val="000000"/>
          <w:lang w:eastAsia="et-EE"/>
        </w:rPr>
        <w:t>Selgitus:</w:t>
      </w:r>
      <w:r w:rsidR="00911EDB">
        <w:rPr>
          <w:rFonts w:ascii="Times New Roman" w:hAnsi="Times New Roman" w:cs="Times New Roman"/>
          <w:b/>
          <w:bCs/>
          <w:color w:val="000000"/>
          <w:lang w:eastAsia="et-EE"/>
        </w:rPr>
        <w:t xml:space="preserve"> </w:t>
      </w:r>
      <w:r w:rsidR="00DA1E22" w:rsidRPr="00B32F9E">
        <w:rPr>
          <w:rFonts w:ascii="Times New Roman" w:hAnsi="Times New Roman" w:cs="Times New Roman"/>
          <w:color w:val="000000"/>
          <w:lang w:eastAsia="et-EE"/>
        </w:rPr>
        <w:t xml:space="preserve">Ehkki </w:t>
      </w:r>
      <w:r w:rsidR="00DA1E22">
        <w:rPr>
          <w:rFonts w:ascii="Times New Roman" w:hAnsi="Times New Roman" w:cs="Times New Roman"/>
          <w:color w:val="000000"/>
          <w:lang w:eastAsia="et-EE"/>
        </w:rPr>
        <w:t>d</w:t>
      </w:r>
      <w:r>
        <w:rPr>
          <w:rFonts w:ascii="Times New Roman" w:hAnsi="Times New Roman" w:cs="Times New Roman"/>
          <w:color w:val="000000"/>
          <w:lang w:eastAsia="et-EE"/>
        </w:rPr>
        <w:t xml:space="preserve">irektiivi menetlemise käigus tehti teksti sõnastusse muudatusi, mida võib pidada sammuks positiivses suunas, ei </w:t>
      </w:r>
      <w:r w:rsidR="00DA1E22">
        <w:rPr>
          <w:rFonts w:ascii="Times New Roman" w:hAnsi="Times New Roman" w:cs="Times New Roman"/>
          <w:color w:val="000000"/>
          <w:lang w:eastAsia="et-EE"/>
        </w:rPr>
        <w:t xml:space="preserve">paku direktiivi lõpptekst siiski selget arusaama kehtestatava hoolsuskohustuse sisust ja ulatusest. </w:t>
      </w:r>
      <w:r w:rsidR="00DA1E22" w:rsidRPr="00900056">
        <w:rPr>
          <w:rFonts w:ascii="Times New Roman" w:hAnsi="Times New Roman" w:cs="Times New Roman"/>
          <w:color w:val="000000"/>
          <w:lang w:eastAsia="et-EE"/>
        </w:rPr>
        <w:t>Kogu eelnõu menetlemise protsessi käigus seisid Eesti esindajad üldjoontes selle eest, et hoolsuskohustuse sisu ja ulatus saaks mõistlikult ja arusaadavalt piiritletud ning hoolsuskohustuse rikkumisega kaasneva tsiviilvastutuse reeglid oleks õiguskindlad. Selleks tuli kõige enam kaasa rääkida selliste direktiivi elementide kujundamisel nagu kohaldamisala, väärtusahel, eraldi hoolsuskohustus äriühingu juhtidele</w:t>
      </w:r>
      <w:r w:rsidR="00DA1E22">
        <w:rPr>
          <w:rFonts w:ascii="Times New Roman" w:hAnsi="Times New Roman" w:cs="Times New Roman"/>
          <w:color w:val="000000"/>
          <w:lang w:eastAsia="et-EE"/>
        </w:rPr>
        <w:t>,</w:t>
      </w:r>
      <w:r w:rsidR="00DA1E22" w:rsidRPr="00900056">
        <w:rPr>
          <w:rFonts w:ascii="Times New Roman" w:hAnsi="Times New Roman" w:cs="Times New Roman"/>
          <w:color w:val="000000"/>
          <w:lang w:eastAsia="et-EE"/>
        </w:rPr>
        <w:t xml:space="preserve"> tsiviilõigusliku vastutuse reeglid ning direktiivi lisas loetletud hoolsuskohustused. </w:t>
      </w:r>
    </w:p>
    <w:p w14:paraId="06936F1D" w14:textId="4F133AEB" w:rsidR="00900056" w:rsidRPr="00900056" w:rsidRDefault="00900056" w:rsidP="007C785C">
      <w:pPr>
        <w:ind w:left="360"/>
        <w:jc w:val="both"/>
        <w:rPr>
          <w:rFonts w:ascii="Times New Roman" w:hAnsi="Times New Roman" w:cs="Times New Roman"/>
          <w:color w:val="000000"/>
          <w:lang w:eastAsia="et-EE"/>
        </w:rPr>
      </w:pPr>
      <w:r w:rsidRPr="007C785C">
        <w:rPr>
          <w:rFonts w:ascii="Times New Roman" w:hAnsi="Times New Roman" w:cs="Times New Roman"/>
          <w:b/>
          <w:bCs/>
          <w:color w:val="000000"/>
          <w:lang w:eastAsia="et-EE"/>
        </w:rPr>
        <w:t xml:space="preserve">Direktiivi kohaldamisala </w:t>
      </w:r>
      <w:r w:rsidRPr="00900056">
        <w:rPr>
          <w:rFonts w:ascii="Times New Roman" w:hAnsi="Times New Roman" w:cs="Times New Roman"/>
          <w:color w:val="000000"/>
          <w:lang w:eastAsia="et-EE"/>
        </w:rPr>
        <w:t xml:space="preserve">säilis algatuse esialgse kujul, hoolsuskohustus hakkab kehtima suurtele </w:t>
      </w:r>
      <w:r w:rsidR="00AA7859">
        <w:rPr>
          <w:rFonts w:ascii="Times New Roman" w:hAnsi="Times New Roman" w:cs="Times New Roman"/>
          <w:color w:val="000000"/>
          <w:lang w:eastAsia="et-EE"/>
        </w:rPr>
        <w:t>äriühingute</w:t>
      </w:r>
      <w:r w:rsidRPr="00900056">
        <w:rPr>
          <w:rFonts w:ascii="Times New Roman" w:hAnsi="Times New Roman" w:cs="Times New Roman"/>
          <w:color w:val="000000"/>
          <w:lang w:eastAsia="et-EE"/>
        </w:rPr>
        <w:t>le (vähemalt 500 töötajaga ja vähemalt 150 miljonilise aastakäibega). Eesti</w:t>
      </w:r>
      <w:r w:rsidR="008803E7">
        <w:rPr>
          <w:rFonts w:ascii="Times New Roman" w:hAnsi="Times New Roman" w:cs="Times New Roman"/>
          <w:color w:val="000000"/>
          <w:lang w:eastAsia="et-EE"/>
        </w:rPr>
        <w:t xml:space="preserve"> ei ole</w:t>
      </w:r>
      <w:r w:rsidRPr="00900056">
        <w:rPr>
          <w:rFonts w:ascii="Times New Roman" w:hAnsi="Times New Roman" w:cs="Times New Roman"/>
          <w:color w:val="000000"/>
          <w:lang w:eastAsia="et-EE"/>
        </w:rPr>
        <w:t xml:space="preserve"> sellise kohaldamisala künnis</w:t>
      </w:r>
      <w:r w:rsidR="008803E7">
        <w:rPr>
          <w:rFonts w:ascii="Times New Roman" w:hAnsi="Times New Roman" w:cs="Times New Roman"/>
          <w:color w:val="000000"/>
          <w:lang w:eastAsia="et-EE"/>
        </w:rPr>
        <w:t>e vastu</w:t>
      </w:r>
      <w:r w:rsidRPr="00900056">
        <w:rPr>
          <w:rFonts w:ascii="Times New Roman" w:hAnsi="Times New Roman" w:cs="Times New Roman"/>
          <w:color w:val="000000"/>
          <w:lang w:eastAsia="et-EE"/>
        </w:rPr>
        <w:t xml:space="preserve">, sest eelistasime seda künniste </w:t>
      </w:r>
      <w:r w:rsidR="008803E7">
        <w:rPr>
          <w:rFonts w:ascii="Times New Roman" w:hAnsi="Times New Roman" w:cs="Times New Roman"/>
          <w:color w:val="000000"/>
          <w:lang w:eastAsia="et-EE"/>
        </w:rPr>
        <w:t>langetamisele</w:t>
      </w:r>
      <w:r w:rsidRPr="00900056">
        <w:rPr>
          <w:rFonts w:ascii="Times New Roman" w:hAnsi="Times New Roman" w:cs="Times New Roman"/>
          <w:color w:val="000000"/>
          <w:lang w:eastAsia="et-EE"/>
        </w:rPr>
        <w:t xml:space="preserve">. Siiski tuleb jätkuvalt silmas pidada, et kestlik hoolsuskohustus laieneb ka väiksematele </w:t>
      </w:r>
      <w:r w:rsidR="00AA7859">
        <w:rPr>
          <w:rFonts w:ascii="Times New Roman" w:hAnsi="Times New Roman" w:cs="Times New Roman"/>
          <w:color w:val="000000"/>
          <w:lang w:eastAsia="et-EE"/>
        </w:rPr>
        <w:t>äriühingute</w:t>
      </w:r>
      <w:r w:rsidRPr="00900056">
        <w:rPr>
          <w:rFonts w:ascii="Times New Roman" w:hAnsi="Times New Roman" w:cs="Times New Roman"/>
          <w:color w:val="000000"/>
          <w:lang w:eastAsia="et-EE"/>
        </w:rPr>
        <w:t>le, kes ise kohaldamisala künnist</w:t>
      </w:r>
      <w:r w:rsidR="00AA7859">
        <w:rPr>
          <w:rFonts w:ascii="Times New Roman" w:hAnsi="Times New Roman" w:cs="Times New Roman"/>
          <w:color w:val="000000"/>
          <w:lang w:eastAsia="et-EE"/>
        </w:rPr>
        <w:t xml:space="preserve"> ei ületa</w:t>
      </w:r>
      <w:r w:rsidRPr="00900056">
        <w:rPr>
          <w:rFonts w:ascii="Times New Roman" w:hAnsi="Times New Roman" w:cs="Times New Roman"/>
          <w:color w:val="000000"/>
          <w:lang w:eastAsia="et-EE"/>
        </w:rPr>
        <w:t xml:space="preserve">, kuid kes on hoolsuskohustusega ettevõtte koostööpartnerid. Samuti on lõpptekstis loodud kohaldamisala reeglitesse mitmesuguseid </w:t>
      </w:r>
      <w:proofErr w:type="spellStart"/>
      <w:r w:rsidRPr="00900056">
        <w:rPr>
          <w:rFonts w:ascii="Times New Roman" w:hAnsi="Times New Roman" w:cs="Times New Roman"/>
          <w:color w:val="000000"/>
          <w:lang w:eastAsia="et-EE"/>
        </w:rPr>
        <w:t>valdkondlikke</w:t>
      </w:r>
      <w:proofErr w:type="spellEnd"/>
      <w:r w:rsidRPr="00900056">
        <w:rPr>
          <w:rFonts w:ascii="Times New Roman" w:hAnsi="Times New Roman" w:cs="Times New Roman"/>
          <w:color w:val="000000"/>
          <w:lang w:eastAsia="et-EE"/>
        </w:rPr>
        <w:t xml:space="preserve"> erisusi, mis muudab kohaldamisala tegeliku ulatuse määratlemise keeruliseks. </w:t>
      </w:r>
    </w:p>
    <w:p w14:paraId="7360F715" w14:textId="7C8CEDF0" w:rsidR="00DA1E22" w:rsidRPr="00CD14EF" w:rsidRDefault="00DA1E22" w:rsidP="00DA1E22">
      <w:pPr>
        <w:ind w:left="360"/>
        <w:jc w:val="both"/>
        <w:rPr>
          <w:rFonts w:ascii="Times New Roman" w:hAnsi="Times New Roman" w:cs="Times New Roman"/>
          <w:color w:val="000000"/>
          <w:lang w:eastAsia="et-EE"/>
        </w:rPr>
      </w:pPr>
      <w:r w:rsidRPr="002D2FB4">
        <w:rPr>
          <w:rFonts w:ascii="Times New Roman" w:hAnsi="Times New Roman" w:cs="Times New Roman"/>
          <w:b/>
          <w:bCs/>
          <w:color w:val="000000"/>
          <w:lang w:eastAsia="et-EE"/>
        </w:rPr>
        <w:t xml:space="preserve">Finantssektori </w:t>
      </w:r>
      <w:r>
        <w:rPr>
          <w:rFonts w:ascii="Times New Roman" w:hAnsi="Times New Roman" w:cs="Times New Roman"/>
          <w:b/>
          <w:bCs/>
          <w:color w:val="000000"/>
          <w:lang w:eastAsia="et-EE"/>
        </w:rPr>
        <w:t>äriühingute</w:t>
      </w:r>
      <w:r w:rsidRPr="002D2FB4">
        <w:rPr>
          <w:rFonts w:ascii="Times New Roman" w:hAnsi="Times New Roman" w:cs="Times New Roman"/>
          <w:b/>
          <w:bCs/>
          <w:color w:val="000000"/>
          <w:lang w:eastAsia="et-EE"/>
        </w:rPr>
        <w:t xml:space="preserve">le kohaldub </w:t>
      </w:r>
      <w:r w:rsidRPr="00B32F9E">
        <w:rPr>
          <w:rFonts w:ascii="Times New Roman" w:hAnsi="Times New Roman" w:cs="Times New Roman"/>
          <w:color w:val="000000"/>
          <w:lang w:eastAsia="et-EE"/>
        </w:rPr>
        <w:t>hoolsuskohustus üksnes tootmisahelas eespool olevatele äripartneritele</w:t>
      </w:r>
      <w:r>
        <w:rPr>
          <w:rFonts w:ascii="Times New Roman" w:hAnsi="Times New Roman" w:cs="Times New Roman"/>
          <w:color w:val="000000"/>
          <w:lang w:eastAsia="et-EE"/>
        </w:rPr>
        <w:t xml:space="preserve"> ehk nn </w:t>
      </w:r>
      <w:proofErr w:type="spellStart"/>
      <w:r w:rsidRPr="00041116">
        <w:rPr>
          <w:rFonts w:ascii="Times New Roman" w:hAnsi="Times New Roman" w:cs="Times New Roman"/>
          <w:i/>
          <w:iCs/>
          <w:color w:val="000000"/>
          <w:lang w:eastAsia="et-EE"/>
        </w:rPr>
        <w:t>upstream</w:t>
      </w:r>
      <w:proofErr w:type="spellEnd"/>
      <w:r w:rsidRPr="00041116">
        <w:rPr>
          <w:rFonts w:ascii="Times New Roman" w:hAnsi="Times New Roman" w:cs="Times New Roman"/>
          <w:i/>
          <w:iCs/>
          <w:color w:val="000000"/>
          <w:lang w:eastAsia="et-EE"/>
        </w:rPr>
        <w:t xml:space="preserve"> </w:t>
      </w:r>
      <w:r>
        <w:rPr>
          <w:rFonts w:ascii="Times New Roman" w:hAnsi="Times New Roman" w:cs="Times New Roman"/>
          <w:color w:val="000000"/>
          <w:lang w:eastAsia="et-EE"/>
        </w:rPr>
        <w:t xml:space="preserve">osale. </w:t>
      </w:r>
      <w:r w:rsidRPr="00CD14EF">
        <w:rPr>
          <w:rFonts w:ascii="Times New Roman" w:hAnsi="Times New Roman" w:cs="Times New Roman"/>
          <w:color w:val="000000"/>
          <w:lang w:eastAsia="et-EE"/>
        </w:rPr>
        <w:t xml:space="preserve">Direktiivi </w:t>
      </w:r>
      <w:r w:rsidR="006534C3">
        <w:rPr>
          <w:rFonts w:ascii="Times New Roman" w:hAnsi="Times New Roman" w:cs="Times New Roman"/>
          <w:color w:val="000000"/>
          <w:lang w:eastAsia="et-EE"/>
        </w:rPr>
        <w:t xml:space="preserve">lõpptekstis on </w:t>
      </w:r>
      <w:r w:rsidRPr="00CD14EF">
        <w:rPr>
          <w:rFonts w:ascii="Times New Roman" w:hAnsi="Times New Roman" w:cs="Times New Roman"/>
          <w:color w:val="000000"/>
          <w:lang w:eastAsia="et-EE"/>
        </w:rPr>
        <w:t xml:space="preserve">kohaldamisalast välja jäetud finantssektori tootmisahelas allpool olev </w:t>
      </w:r>
      <w:r>
        <w:rPr>
          <w:rFonts w:ascii="Times New Roman" w:hAnsi="Times New Roman" w:cs="Times New Roman"/>
          <w:color w:val="000000"/>
          <w:lang w:eastAsia="et-EE"/>
        </w:rPr>
        <w:t>nn</w:t>
      </w:r>
      <w:r w:rsidRPr="00CD14EF">
        <w:rPr>
          <w:rFonts w:ascii="Times New Roman" w:hAnsi="Times New Roman" w:cs="Times New Roman"/>
          <w:color w:val="000000"/>
          <w:lang w:eastAsia="et-EE"/>
        </w:rPr>
        <w:t xml:space="preserve"> </w:t>
      </w:r>
      <w:proofErr w:type="spellStart"/>
      <w:r w:rsidRPr="00CD14EF">
        <w:rPr>
          <w:rFonts w:ascii="Times New Roman" w:hAnsi="Times New Roman" w:cs="Times New Roman"/>
          <w:i/>
          <w:iCs/>
          <w:color w:val="000000"/>
          <w:lang w:eastAsia="et-EE"/>
        </w:rPr>
        <w:t>downstream</w:t>
      </w:r>
      <w:proofErr w:type="spellEnd"/>
      <w:r w:rsidRPr="00CD14EF">
        <w:rPr>
          <w:rFonts w:ascii="Times New Roman" w:hAnsi="Times New Roman" w:cs="Times New Roman"/>
          <w:color w:val="000000"/>
          <w:lang w:eastAsia="et-EE"/>
        </w:rPr>
        <w:t xml:space="preserve"> osa. Eesti on sellist lahendust eelistanud</w:t>
      </w:r>
      <w:r>
        <w:rPr>
          <w:rFonts w:ascii="Times New Roman" w:hAnsi="Times New Roman" w:cs="Times New Roman"/>
          <w:color w:val="000000"/>
          <w:lang w:eastAsia="et-EE"/>
        </w:rPr>
        <w:t xml:space="preserve"> ebaselge sisuga regulatsioonile. Vaatamata arutelude käigus liikmesriikide poolt esitatud erinevatele sõnastusettepanekutele ei saabunud tekstis finantssektori asjus ühest selgust, millised hoolsuskohustused ja kellele täpselt direktiivist tulenema hakkavad. Rahandusministeeriumi eksperdid hindasid direktiivi kohaldamist finantssektori nn </w:t>
      </w:r>
      <w:proofErr w:type="spellStart"/>
      <w:r w:rsidRPr="00E04A93">
        <w:rPr>
          <w:rFonts w:ascii="Times New Roman" w:hAnsi="Times New Roman" w:cs="Times New Roman"/>
          <w:i/>
          <w:iCs/>
          <w:color w:val="000000"/>
          <w:lang w:eastAsia="et-EE"/>
        </w:rPr>
        <w:t>downstream</w:t>
      </w:r>
      <w:proofErr w:type="spellEnd"/>
      <w:r>
        <w:rPr>
          <w:rFonts w:ascii="Times New Roman" w:hAnsi="Times New Roman" w:cs="Times New Roman"/>
          <w:color w:val="000000"/>
          <w:lang w:eastAsia="et-EE"/>
        </w:rPr>
        <w:t xml:space="preserve"> osale problemaatiliseks.</w:t>
      </w:r>
      <w:r w:rsidRPr="00CD14EF">
        <w:rPr>
          <w:rFonts w:ascii="Times New Roman" w:hAnsi="Times New Roman" w:cs="Times New Roman"/>
          <w:color w:val="000000"/>
          <w:lang w:eastAsia="et-EE"/>
        </w:rPr>
        <w:t xml:space="preserve"> </w:t>
      </w:r>
      <w:r>
        <w:rPr>
          <w:rFonts w:ascii="Times New Roman" w:hAnsi="Times New Roman" w:cs="Times New Roman"/>
          <w:color w:val="000000"/>
          <w:lang w:eastAsia="et-EE"/>
        </w:rPr>
        <w:t xml:space="preserve">Vastavalt direktiivi lõppteksti artiklile 29 valiti lõppteksti lahendus, mille järgi hinnatakse finantssektorile täies ulatuses direktiivi kohaldamise vajadust eraldi hiljemalt 2 aasta pärast alates direktiivi jõustumisest. </w:t>
      </w:r>
    </w:p>
    <w:p w14:paraId="4DF20E49" w14:textId="4A289475" w:rsidR="00900056" w:rsidRPr="00900056" w:rsidRDefault="00900056" w:rsidP="007C785C">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Äriühingu tegevusega seotud </w:t>
      </w:r>
      <w:r w:rsidRPr="007C785C">
        <w:rPr>
          <w:rFonts w:ascii="Times New Roman" w:hAnsi="Times New Roman" w:cs="Times New Roman"/>
          <w:b/>
          <w:bCs/>
          <w:color w:val="000000"/>
          <w:lang w:eastAsia="et-EE"/>
        </w:rPr>
        <w:t>väärtusahela</w:t>
      </w:r>
      <w:r w:rsidR="008803E7">
        <w:rPr>
          <w:rFonts w:ascii="Times New Roman" w:hAnsi="Times New Roman" w:cs="Times New Roman"/>
          <w:b/>
          <w:bCs/>
          <w:color w:val="000000"/>
          <w:lang w:eastAsia="et-EE"/>
        </w:rPr>
        <w:t xml:space="preserve"> </w:t>
      </w:r>
      <w:r w:rsidR="008803E7" w:rsidRPr="008803E7">
        <w:rPr>
          <w:rFonts w:ascii="Times New Roman" w:hAnsi="Times New Roman" w:cs="Times New Roman"/>
          <w:i/>
          <w:iCs/>
          <w:color w:val="000000"/>
          <w:lang w:eastAsia="et-EE"/>
        </w:rPr>
        <w:t>(</w:t>
      </w:r>
      <w:proofErr w:type="spellStart"/>
      <w:r w:rsidR="008803E7" w:rsidRPr="008803E7">
        <w:rPr>
          <w:rFonts w:ascii="Times New Roman" w:hAnsi="Times New Roman" w:cs="Times New Roman"/>
          <w:i/>
          <w:iCs/>
          <w:color w:val="000000"/>
          <w:lang w:eastAsia="et-EE"/>
        </w:rPr>
        <w:t>value</w:t>
      </w:r>
      <w:proofErr w:type="spellEnd"/>
      <w:r w:rsidR="008803E7" w:rsidRPr="008803E7">
        <w:rPr>
          <w:rFonts w:ascii="Times New Roman" w:hAnsi="Times New Roman" w:cs="Times New Roman"/>
          <w:i/>
          <w:iCs/>
          <w:color w:val="000000"/>
          <w:lang w:eastAsia="et-EE"/>
        </w:rPr>
        <w:t xml:space="preserve"> </w:t>
      </w:r>
      <w:proofErr w:type="spellStart"/>
      <w:r w:rsidR="008803E7" w:rsidRPr="008803E7">
        <w:rPr>
          <w:rFonts w:ascii="Times New Roman" w:hAnsi="Times New Roman" w:cs="Times New Roman"/>
          <w:i/>
          <w:iCs/>
          <w:color w:val="000000"/>
          <w:lang w:eastAsia="et-EE"/>
        </w:rPr>
        <w:t>chain</w:t>
      </w:r>
      <w:proofErr w:type="spellEnd"/>
      <w:r w:rsidR="008803E7" w:rsidRPr="008803E7">
        <w:rPr>
          <w:rFonts w:ascii="Times New Roman" w:hAnsi="Times New Roman" w:cs="Times New Roman"/>
          <w:i/>
          <w:iCs/>
          <w:color w:val="000000"/>
          <w:lang w:eastAsia="et-EE"/>
        </w:rPr>
        <w:t>)</w:t>
      </w:r>
      <w:r w:rsidRPr="007C785C">
        <w:rPr>
          <w:rFonts w:ascii="Times New Roman" w:hAnsi="Times New Roman" w:cs="Times New Roman"/>
          <w:b/>
          <w:bCs/>
          <w:color w:val="000000"/>
          <w:lang w:eastAsia="et-EE"/>
        </w:rPr>
        <w:t xml:space="preserve"> mõistet</w:t>
      </w:r>
      <w:r w:rsidRPr="00900056">
        <w:rPr>
          <w:rFonts w:ascii="Times New Roman" w:hAnsi="Times New Roman" w:cs="Times New Roman"/>
          <w:color w:val="000000"/>
          <w:lang w:eastAsia="et-EE"/>
        </w:rPr>
        <w:t xml:space="preserve"> on lõpptekstis mõneti kitsendatud võrreldes algatuse esialgse tekstiga. Väärtusahela mõiste muutus tegevuste ahela </w:t>
      </w:r>
      <w:r w:rsidR="008803E7">
        <w:rPr>
          <w:rFonts w:ascii="Times New Roman" w:hAnsi="Times New Roman" w:cs="Times New Roman"/>
          <w:color w:val="000000"/>
          <w:lang w:eastAsia="et-EE"/>
        </w:rPr>
        <w:t>(</w:t>
      </w:r>
      <w:proofErr w:type="spellStart"/>
      <w:r w:rsidR="008803E7" w:rsidRPr="008803E7">
        <w:rPr>
          <w:rFonts w:ascii="Times New Roman" w:hAnsi="Times New Roman" w:cs="Times New Roman"/>
          <w:i/>
          <w:iCs/>
          <w:color w:val="000000"/>
          <w:lang w:eastAsia="et-EE"/>
        </w:rPr>
        <w:t>chain</w:t>
      </w:r>
      <w:proofErr w:type="spellEnd"/>
      <w:r w:rsidR="008803E7" w:rsidRPr="008803E7">
        <w:rPr>
          <w:rFonts w:ascii="Times New Roman" w:hAnsi="Times New Roman" w:cs="Times New Roman"/>
          <w:i/>
          <w:iCs/>
          <w:color w:val="000000"/>
          <w:lang w:eastAsia="et-EE"/>
        </w:rPr>
        <w:t xml:space="preserve"> of </w:t>
      </w:r>
      <w:proofErr w:type="spellStart"/>
      <w:r w:rsidR="008803E7" w:rsidRPr="008803E7">
        <w:rPr>
          <w:rFonts w:ascii="Times New Roman" w:hAnsi="Times New Roman" w:cs="Times New Roman"/>
          <w:i/>
          <w:iCs/>
          <w:color w:val="000000"/>
          <w:lang w:eastAsia="et-EE"/>
        </w:rPr>
        <w:t>activities</w:t>
      </w:r>
      <w:proofErr w:type="spellEnd"/>
      <w:r w:rsidR="008803E7">
        <w:rPr>
          <w:rFonts w:ascii="Times New Roman" w:hAnsi="Times New Roman" w:cs="Times New Roman"/>
          <w:color w:val="000000"/>
          <w:lang w:eastAsia="et-EE"/>
        </w:rPr>
        <w:t xml:space="preserve">) </w:t>
      </w:r>
      <w:r w:rsidRPr="00900056">
        <w:rPr>
          <w:rFonts w:ascii="Times New Roman" w:hAnsi="Times New Roman" w:cs="Times New Roman"/>
          <w:color w:val="000000"/>
          <w:lang w:eastAsia="et-EE"/>
        </w:rPr>
        <w:t>mõisteks ning see hõlmab tootmisahelas eespool (</w:t>
      </w:r>
      <w:proofErr w:type="spellStart"/>
      <w:r w:rsidRPr="00862ED1">
        <w:rPr>
          <w:rFonts w:ascii="Times New Roman" w:hAnsi="Times New Roman" w:cs="Times New Roman"/>
          <w:i/>
          <w:iCs/>
          <w:color w:val="000000"/>
          <w:lang w:eastAsia="et-EE"/>
        </w:rPr>
        <w:t>upstream</w:t>
      </w:r>
      <w:proofErr w:type="spellEnd"/>
      <w:r w:rsidRPr="00900056">
        <w:rPr>
          <w:rFonts w:ascii="Times New Roman" w:hAnsi="Times New Roman" w:cs="Times New Roman"/>
          <w:color w:val="000000"/>
          <w:lang w:eastAsia="et-EE"/>
        </w:rPr>
        <w:t>) ja allpool (</w:t>
      </w:r>
      <w:proofErr w:type="spellStart"/>
      <w:r w:rsidRPr="00862ED1">
        <w:rPr>
          <w:rFonts w:ascii="Times New Roman" w:hAnsi="Times New Roman" w:cs="Times New Roman"/>
          <w:i/>
          <w:iCs/>
          <w:color w:val="000000"/>
          <w:lang w:eastAsia="et-EE"/>
        </w:rPr>
        <w:t>downstream</w:t>
      </w:r>
      <w:proofErr w:type="spellEnd"/>
      <w:r w:rsidRPr="00900056">
        <w:rPr>
          <w:rFonts w:ascii="Times New Roman" w:hAnsi="Times New Roman" w:cs="Times New Roman"/>
          <w:color w:val="000000"/>
          <w:lang w:eastAsia="et-EE"/>
        </w:rPr>
        <w:t>) olevate äripartnerite tegevusi, mis on definitsioonis ka mõneti täpsemalt loetletud. Tegevuste ahelast on välistatud tarbijate poolne toote utiliseerimine ning selliste toodete turustamine, transport, ladustamine ja utiliseerimine, mis kuuluvad ekspordikontrolli alla (sõjalised kaubad, osad kemikaalid). Eesti sa</w:t>
      </w:r>
      <w:r w:rsidR="008803E7">
        <w:rPr>
          <w:rFonts w:ascii="Times New Roman" w:hAnsi="Times New Roman" w:cs="Times New Roman"/>
          <w:color w:val="000000"/>
          <w:lang w:eastAsia="et-EE"/>
        </w:rPr>
        <w:t>i</w:t>
      </w:r>
      <w:r w:rsidRPr="00900056">
        <w:rPr>
          <w:rFonts w:ascii="Times New Roman" w:hAnsi="Times New Roman" w:cs="Times New Roman"/>
          <w:color w:val="000000"/>
          <w:lang w:eastAsia="et-EE"/>
        </w:rPr>
        <w:t xml:space="preserve"> mõiste sellis</w:t>
      </w:r>
      <w:r w:rsidR="006534C3">
        <w:rPr>
          <w:rFonts w:ascii="Times New Roman" w:hAnsi="Times New Roman" w:cs="Times New Roman"/>
          <w:color w:val="000000"/>
          <w:lang w:eastAsia="et-EE"/>
        </w:rPr>
        <w:t>elt</w:t>
      </w:r>
      <w:r w:rsidRPr="00900056">
        <w:rPr>
          <w:rFonts w:ascii="Times New Roman" w:hAnsi="Times New Roman" w:cs="Times New Roman"/>
          <w:color w:val="000000"/>
          <w:lang w:eastAsia="et-EE"/>
        </w:rPr>
        <w:t xml:space="preserve"> määratlemist aktsepteerida, kuivõrd see on mõneti piiritletum võrreldes algatuse esialgse </w:t>
      </w:r>
      <w:r w:rsidR="008803E7">
        <w:rPr>
          <w:rFonts w:ascii="Times New Roman" w:hAnsi="Times New Roman" w:cs="Times New Roman"/>
          <w:color w:val="000000"/>
          <w:lang w:eastAsia="et-EE"/>
        </w:rPr>
        <w:t>lai</w:t>
      </w:r>
      <w:r w:rsidR="00101AD5">
        <w:rPr>
          <w:rFonts w:ascii="Times New Roman" w:hAnsi="Times New Roman" w:cs="Times New Roman"/>
          <w:color w:val="000000"/>
          <w:lang w:eastAsia="et-EE"/>
        </w:rPr>
        <w:t>a</w:t>
      </w:r>
      <w:r w:rsidR="008803E7">
        <w:rPr>
          <w:rFonts w:ascii="Times New Roman" w:hAnsi="Times New Roman" w:cs="Times New Roman"/>
          <w:color w:val="000000"/>
          <w:lang w:eastAsia="et-EE"/>
        </w:rPr>
        <w:t xml:space="preserve"> </w:t>
      </w:r>
      <w:r w:rsidRPr="00900056">
        <w:rPr>
          <w:rFonts w:ascii="Times New Roman" w:hAnsi="Times New Roman" w:cs="Times New Roman"/>
          <w:color w:val="000000"/>
          <w:lang w:eastAsia="et-EE"/>
        </w:rPr>
        <w:t xml:space="preserve">väärtusahela määratlusega. </w:t>
      </w:r>
    </w:p>
    <w:p w14:paraId="5A1AD9B0" w14:textId="71A7F6D3" w:rsidR="00900056" w:rsidRDefault="00900056" w:rsidP="00900056">
      <w:pPr>
        <w:ind w:left="360"/>
        <w:jc w:val="both"/>
        <w:rPr>
          <w:rFonts w:ascii="Times New Roman" w:hAnsi="Times New Roman" w:cs="Times New Roman"/>
          <w:color w:val="000000"/>
          <w:lang w:eastAsia="et-EE"/>
        </w:rPr>
      </w:pPr>
      <w:r w:rsidRPr="007C785C">
        <w:rPr>
          <w:rFonts w:ascii="Times New Roman" w:hAnsi="Times New Roman" w:cs="Times New Roman"/>
          <w:b/>
          <w:bCs/>
          <w:color w:val="000000"/>
          <w:lang w:eastAsia="et-EE"/>
        </w:rPr>
        <w:t>Äriühingu juhtide kohustuste sätted</w:t>
      </w:r>
      <w:r w:rsidRPr="00900056">
        <w:rPr>
          <w:rFonts w:ascii="Times New Roman" w:hAnsi="Times New Roman" w:cs="Times New Roman"/>
          <w:color w:val="000000"/>
          <w:lang w:eastAsia="et-EE"/>
        </w:rPr>
        <w:t xml:space="preserve"> on direktiivi eelnõust eemaldatud</w:t>
      </w:r>
      <w:r w:rsidR="00862ED1">
        <w:rPr>
          <w:rFonts w:ascii="Times New Roman" w:hAnsi="Times New Roman" w:cs="Times New Roman"/>
          <w:color w:val="000000"/>
          <w:lang w:eastAsia="et-EE"/>
        </w:rPr>
        <w:t xml:space="preserve"> ja Eesti eelistas just sellist lahendust.</w:t>
      </w:r>
      <w:r w:rsidRPr="00900056">
        <w:rPr>
          <w:rFonts w:ascii="Times New Roman" w:hAnsi="Times New Roman" w:cs="Times New Roman"/>
          <w:color w:val="000000"/>
          <w:lang w:eastAsia="et-EE"/>
        </w:rPr>
        <w:t xml:space="preserve"> </w:t>
      </w:r>
      <w:r w:rsidR="00862ED1">
        <w:rPr>
          <w:rFonts w:ascii="Times New Roman" w:hAnsi="Times New Roman" w:cs="Times New Roman"/>
          <w:color w:val="000000"/>
          <w:lang w:eastAsia="et-EE"/>
        </w:rPr>
        <w:t>Äriühingu juhtidele eraldi hoolsuskohustuse kehtestamine oli d</w:t>
      </w:r>
      <w:r w:rsidRPr="00900056">
        <w:rPr>
          <w:rFonts w:ascii="Times New Roman" w:hAnsi="Times New Roman" w:cs="Times New Roman"/>
          <w:color w:val="000000"/>
          <w:lang w:eastAsia="et-EE"/>
        </w:rPr>
        <w:t>irektiivi eelnõu</w:t>
      </w:r>
      <w:r w:rsidR="00862ED1">
        <w:rPr>
          <w:rFonts w:ascii="Times New Roman" w:hAnsi="Times New Roman" w:cs="Times New Roman"/>
          <w:color w:val="000000"/>
          <w:lang w:eastAsia="et-EE"/>
        </w:rPr>
        <w:t>s Eesti jaoks</w:t>
      </w:r>
      <w:r w:rsidRPr="00900056">
        <w:rPr>
          <w:rFonts w:ascii="Times New Roman" w:hAnsi="Times New Roman" w:cs="Times New Roman"/>
          <w:color w:val="000000"/>
          <w:lang w:eastAsia="et-EE"/>
        </w:rPr>
        <w:t xml:space="preserve"> üks suuremaid murekohti,</w:t>
      </w:r>
      <w:r w:rsidR="00862ED1">
        <w:rPr>
          <w:rFonts w:ascii="Times New Roman" w:hAnsi="Times New Roman" w:cs="Times New Roman"/>
          <w:color w:val="000000"/>
          <w:lang w:eastAsia="et-EE"/>
        </w:rPr>
        <w:t xml:space="preserve"> sest nii </w:t>
      </w:r>
      <w:r w:rsidRPr="00900056">
        <w:rPr>
          <w:rFonts w:ascii="Times New Roman" w:hAnsi="Times New Roman" w:cs="Times New Roman"/>
          <w:color w:val="000000"/>
          <w:lang w:eastAsia="et-EE"/>
        </w:rPr>
        <w:t xml:space="preserve">pandi hoolsuskohustus täiendavalt ka äriühingu juhtidele, mitte vaid äriühingutele. Selline kontseptsioon oleks olnud vastuolus Eestis ja ka Euroopa riikides laiemalt kehtiva ühinguõiguse kontseptsiooniga. Direktiivi eelnõu lõpptekstist on ühinguõiguse sätted kustutatud. Siiski tuleb märkida, et äriühingu juhtidele seatava eraldi kohustuse </w:t>
      </w:r>
      <w:r w:rsidRPr="00900056">
        <w:rPr>
          <w:rFonts w:ascii="Times New Roman" w:hAnsi="Times New Roman" w:cs="Times New Roman"/>
          <w:color w:val="000000"/>
          <w:lang w:eastAsia="et-EE"/>
        </w:rPr>
        <w:lastRenderedPageBreak/>
        <w:t xml:space="preserve">problemaatika on </w:t>
      </w:r>
      <w:r w:rsidR="006534C3">
        <w:rPr>
          <w:rFonts w:ascii="Times New Roman" w:hAnsi="Times New Roman" w:cs="Times New Roman"/>
          <w:color w:val="000000"/>
          <w:lang w:eastAsia="et-EE"/>
        </w:rPr>
        <w:t xml:space="preserve">direktiivis </w:t>
      </w:r>
      <w:r w:rsidRPr="00900056">
        <w:rPr>
          <w:rFonts w:ascii="Times New Roman" w:hAnsi="Times New Roman" w:cs="Times New Roman"/>
          <w:color w:val="000000"/>
          <w:lang w:eastAsia="et-EE"/>
        </w:rPr>
        <w:t>teatud kujul säilinud artiklis 15, mille lõikes 3 nähakse juhtidele ette nn rahalised ergutused/lisatasud kliimamuutuste vastu võitlemise plaani rakendamise eest.</w:t>
      </w:r>
    </w:p>
    <w:p w14:paraId="105E33BB" w14:textId="44399BA7" w:rsidR="00DA1E22" w:rsidRPr="00DA1E22" w:rsidRDefault="00C71FE6" w:rsidP="00900056">
      <w:pPr>
        <w:ind w:left="360"/>
        <w:jc w:val="both"/>
        <w:rPr>
          <w:rFonts w:ascii="Times New Roman" w:hAnsi="Times New Roman" w:cs="Times New Roman"/>
          <w:color w:val="000000"/>
          <w:lang w:eastAsia="et-EE"/>
        </w:rPr>
      </w:pPr>
      <w:r>
        <w:rPr>
          <w:rFonts w:ascii="Times New Roman" w:hAnsi="Times New Roman" w:cs="Times New Roman"/>
          <w:color w:val="000000"/>
          <w:lang w:eastAsia="et-EE"/>
        </w:rPr>
        <w:t xml:space="preserve">Kirjeldatud elemendid raamistavad seatava hoolsuskohustuse ulatust, pakkumata samas selget arusaama, kuidas hoolsuskohustuse täitmine niisuguses ulatuses praktikas toimuda saab. </w:t>
      </w:r>
      <w:r w:rsidR="00DA1E22">
        <w:rPr>
          <w:rFonts w:ascii="Times New Roman" w:hAnsi="Times New Roman" w:cs="Times New Roman"/>
          <w:color w:val="000000"/>
          <w:lang w:eastAsia="et-EE"/>
        </w:rPr>
        <w:t xml:space="preserve">Direktiivi lisast tuleneva hoolsuskohustuse ja tsiviilõigusliku vastutuse problemaatika arenguid kirjeldatakse lühidalt järgmise seisukohapunkti all. </w:t>
      </w:r>
    </w:p>
    <w:p w14:paraId="5E5147B9" w14:textId="5EC7EF06" w:rsidR="00CC7C81" w:rsidRPr="00B32F9E" w:rsidRDefault="00CC7C81" w:rsidP="00B32F9E">
      <w:pPr>
        <w:numPr>
          <w:ilvl w:val="2"/>
          <w:numId w:val="1"/>
        </w:numPr>
        <w:jc w:val="both"/>
        <w:rPr>
          <w:rFonts w:ascii="Times New Roman" w:hAnsi="Times New Roman" w:cs="Times New Roman"/>
          <w:b/>
          <w:bCs/>
          <w:color w:val="000000"/>
          <w:lang w:eastAsia="et-EE"/>
        </w:rPr>
      </w:pPr>
      <w:r w:rsidRPr="00B32F9E">
        <w:rPr>
          <w:rFonts w:ascii="Times New Roman" w:hAnsi="Times New Roman" w:cs="Times New Roman"/>
          <w:b/>
          <w:bCs/>
          <w:color w:val="000000"/>
          <w:lang w:eastAsia="et-EE"/>
        </w:rPr>
        <w:t>Peame jätkuvalt vajalikuks, et õiguskindluse huvides selgitataks direktiivi lisa moodustavas nimekirjas olevate äriühingute hoolsuskohust sisustavate konventsioonide ja nendest tulenevate kohustuste rakendamise mehhanismi ja sisustamist äriühingu jaoks.</w:t>
      </w:r>
    </w:p>
    <w:p w14:paraId="1F0B2247" w14:textId="7535E0E0" w:rsidR="007C785C" w:rsidRDefault="00CC7C81" w:rsidP="007C785C">
      <w:pPr>
        <w:ind w:left="360"/>
        <w:jc w:val="both"/>
        <w:rPr>
          <w:rFonts w:ascii="Times New Roman" w:hAnsi="Times New Roman" w:cs="Times New Roman"/>
          <w:color w:val="000000"/>
          <w:lang w:eastAsia="et-EE"/>
        </w:rPr>
      </w:pPr>
      <w:r w:rsidRPr="00B32F9E">
        <w:rPr>
          <w:rFonts w:ascii="Times New Roman" w:hAnsi="Times New Roman" w:cs="Times New Roman"/>
          <w:b/>
          <w:bCs/>
          <w:color w:val="000000"/>
          <w:lang w:eastAsia="et-EE"/>
        </w:rPr>
        <w:t>Selgitus:</w:t>
      </w:r>
      <w:r>
        <w:rPr>
          <w:rFonts w:ascii="Times New Roman" w:hAnsi="Times New Roman" w:cs="Times New Roman"/>
          <w:color w:val="000000"/>
          <w:lang w:eastAsia="et-EE"/>
        </w:rPr>
        <w:t xml:space="preserve"> </w:t>
      </w:r>
      <w:r w:rsidR="00900056" w:rsidRPr="00900056">
        <w:rPr>
          <w:rFonts w:ascii="Times New Roman" w:hAnsi="Times New Roman" w:cs="Times New Roman"/>
          <w:color w:val="000000"/>
          <w:lang w:eastAsia="et-EE"/>
        </w:rPr>
        <w:t xml:space="preserve">Eesti peab endiselt tõsiseks probleemiks </w:t>
      </w:r>
      <w:r w:rsidR="00900056" w:rsidRPr="007C785C">
        <w:rPr>
          <w:rFonts w:ascii="Times New Roman" w:hAnsi="Times New Roman" w:cs="Times New Roman"/>
          <w:b/>
          <w:bCs/>
          <w:color w:val="000000"/>
          <w:lang w:eastAsia="et-EE"/>
        </w:rPr>
        <w:t>hoolsuskohustuse ebaselget sisu ja ulatust.</w:t>
      </w:r>
      <w:r w:rsidR="00900056" w:rsidRPr="00900056">
        <w:rPr>
          <w:rFonts w:ascii="Times New Roman" w:hAnsi="Times New Roman" w:cs="Times New Roman"/>
          <w:color w:val="000000"/>
          <w:lang w:eastAsia="et-EE"/>
        </w:rPr>
        <w:t xml:space="preserve"> Eesti leiab, et kogu direktiiviga seatav hoolsuskohustus on ettevõtja jaoks liiga ebamäärane, et olla kooskõlas õigusriigi põhimõtetega. Juriidilised isikud kui põhiõiguste kandjad peavad saama mõistlikult ette näha, mis nende tegevuses on lubatud ja mis mitte. Praegune algatus seda ei taga. Hoolsuskohustuste sisu peab kujunema eelkõige </w:t>
      </w:r>
      <w:r w:rsidR="00900056" w:rsidRPr="00B32F9E">
        <w:rPr>
          <w:rFonts w:ascii="Times New Roman" w:hAnsi="Times New Roman" w:cs="Times New Roman"/>
          <w:b/>
          <w:bCs/>
          <w:color w:val="000000"/>
          <w:lang w:eastAsia="et-EE"/>
        </w:rPr>
        <w:t>direktiivi lisas</w:t>
      </w:r>
      <w:r w:rsidR="00900056" w:rsidRPr="00900056">
        <w:rPr>
          <w:rFonts w:ascii="Times New Roman" w:hAnsi="Times New Roman" w:cs="Times New Roman"/>
          <w:color w:val="000000"/>
          <w:lang w:eastAsia="et-EE"/>
        </w:rPr>
        <w:t xml:space="preserve"> loetletud inimõiguste ja keskkonna alaste rahvusvaheliste õigusaktide põhjal. Põhiprobleem seisneb selle, et lisas loetletud õigusaktid on rahvusvahelised üldise iseloomuga instrumendid, mis seavad kohustusi riikidele. Nendest tulenevaid kohustusi ei saa otse rakendada ettevõtjatele, sest kohustuse sisu jääb ettevõtte tegevuse tasandil ebaselgeks ja liiga üldiseks. Näiteks kohustus tagada õigus elule või eraelu puutumatusele on küll üldiselt arusaadav, aga ettevõtte tegevuse kontekstis tuleb sellele kohustusele anda kitsam sisu konkreetsemate keeldude ja kohustuste kaudu. Lisas olevad instrumendid katavad laia spektrit erinevatest kohustustest ja õigustest, mistõttu on konkreetsete ja arusaadavate </w:t>
      </w:r>
      <w:r w:rsidR="007C2086">
        <w:rPr>
          <w:rFonts w:ascii="Times New Roman" w:hAnsi="Times New Roman" w:cs="Times New Roman"/>
          <w:color w:val="000000"/>
          <w:lang w:eastAsia="et-EE"/>
        </w:rPr>
        <w:t>hoolsus</w:t>
      </w:r>
      <w:r w:rsidR="00900056" w:rsidRPr="00900056">
        <w:rPr>
          <w:rFonts w:ascii="Times New Roman" w:hAnsi="Times New Roman" w:cs="Times New Roman"/>
          <w:color w:val="000000"/>
          <w:lang w:eastAsia="et-EE"/>
        </w:rPr>
        <w:t xml:space="preserve">kohustuste kujundamine liikmesriikide tasandil </w:t>
      </w:r>
      <w:r w:rsidR="007C2086">
        <w:rPr>
          <w:rFonts w:ascii="Times New Roman" w:hAnsi="Times New Roman" w:cs="Times New Roman"/>
          <w:color w:val="000000"/>
          <w:lang w:eastAsia="et-EE"/>
        </w:rPr>
        <w:t>eeldatavasti</w:t>
      </w:r>
      <w:r w:rsidR="007C2086" w:rsidRPr="00900056">
        <w:rPr>
          <w:rFonts w:ascii="Times New Roman" w:hAnsi="Times New Roman" w:cs="Times New Roman"/>
          <w:color w:val="000000"/>
          <w:lang w:eastAsia="et-EE"/>
        </w:rPr>
        <w:t xml:space="preserve"> </w:t>
      </w:r>
      <w:r w:rsidR="00900056" w:rsidRPr="00900056">
        <w:rPr>
          <w:rFonts w:ascii="Times New Roman" w:hAnsi="Times New Roman" w:cs="Times New Roman"/>
          <w:color w:val="000000"/>
          <w:lang w:eastAsia="et-EE"/>
        </w:rPr>
        <w:t xml:space="preserve">väga mahukas ja keeruline. Tõenäoliselt toob see kaasa ka olukorra, kus liikmesriigid tõlgendavad kohustusi siseriiklikult erinevalt. </w:t>
      </w:r>
    </w:p>
    <w:p w14:paraId="33FBF781" w14:textId="2F60A91B" w:rsidR="00900056" w:rsidRPr="00900056" w:rsidRDefault="00900056" w:rsidP="00931954">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Eesti hinnangul on endiselt tõsine murekoht</w:t>
      </w:r>
      <w:r w:rsidR="00DA1E22">
        <w:rPr>
          <w:rFonts w:ascii="Times New Roman" w:hAnsi="Times New Roman" w:cs="Times New Roman"/>
          <w:color w:val="000000"/>
          <w:lang w:eastAsia="et-EE"/>
        </w:rPr>
        <w:t xml:space="preserve"> ka</w:t>
      </w:r>
      <w:r w:rsidRPr="00900056">
        <w:rPr>
          <w:rFonts w:ascii="Times New Roman" w:hAnsi="Times New Roman" w:cs="Times New Roman"/>
          <w:color w:val="000000"/>
          <w:lang w:eastAsia="et-EE"/>
        </w:rPr>
        <w:t xml:space="preserve"> </w:t>
      </w:r>
      <w:r w:rsidRPr="007C785C">
        <w:rPr>
          <w:rFonts w:ascii="Times New Roman" w:hAnsi="Times New Roman" w:cs="Times New Roman"/>
          <w:b/>
          <w:bCs/>
          <w:color w:val="000000"/>
          <w:lang w:eastAsia="et-EE"/>
        </w:rPr>
        <w:t>tsiviilõigusliku vastutuse kehtestamine ebaselge sisuga hoolsuskohustuste rikkumise eest.</w:t>
      </w:r>
      <w:r w:rsidRPr="00900056">
        <w:rPr>
          <w:rFonts w:ascii="Times New Roman" w:hAnsi="Times New Roman" w:cs="Times New Roman"/>
          <w:color w:val="000000"/>
          <w:lang w:eastAsia="et-EE"/>
        </w:rPr>
        <w:t xml:space="preserve"> Eesti on algatuse menetlemise </w:t>
      </w:r>
      <w:r w:rsidR="007C785C">
        <w:rPr>
          <w:rFonts w:ascii="Times New Roman" w:hAnsi="Times New Roman" w:cs="Times New Roman"/>
          <w:color w:val="000000"/>
          <w:lang w:eastAsia="et-EE"/>
        </w:rPr>
        <w:t>kestel</w:t>
      </w:r>
      <w:r w:rsidRPr="00900056">
        <w:rPr>
          <w:rFonts w:ascii="Times New Roman" w:hAnsi="Times New Roman" w:cs="Times New Roman"/>
          <w:color w:val="000000"/>
          <w:lang w:eastAsia="et-EE"/>
        </w:rPr>
        <w:t xml:space="preserve"> olnud tsiviilvastutuse regulatsiooni suhtes</w:t>
      </w:r>
      <w:r w:rsidR="007C785C">
        <w:rPr>
          <w:rFonts w:ascii="Times New Roman" w:hAnsi="Times New Roman" w:cs="Times New Roman"/>
          <w:color w:val="000000"/>
          <w:lang w:eastAsia="et-EE"/>
        </w:rPr>
        <w:t xml:space="preserve"> kriitiline</w:t>
      </w:r>
      <w:r w:rsidRPr="00900056">
        <w:rPr>
          <w:rFonts w:ascii="Times New Roman" w:hAnsi="Times New Roman" w:cs="Times New Roman"/>
          <w:color w:val="000000"/>
          <w:lang w:eastAsia="et-EE"/>
        </w:rPr>
        <w:t>, kuna esialgses teksti kohaselt oleks äriühing vastutanud ka oma väärtusahelasse jäänud koostööpartneri rikkumiste eest ning</w:t>
      </w:r>
      <w:r w:rsidR="007C785C">
        <w:rPr>
          <w:rFonts w:ascii="Times New Roman" w:hAnsi="Times New Roman" w:cs="Times New Roman"/>
          <w:color w:val="000000"/>
          <w:lang w:eastAsia="et-EE"/>
        </w:rPr>
        <w:t xml:space="preserve"> samas ei olnud</w:t>
      </w:r>
      <w:r w:rsidRPr="00900056">
        <w:rPr>
          <w:rFonts w:ascii="Times New Roman" w:hAnsi="Times New Roman" w:cs="Times New Roman"/>
          <w:color w:val="000000"/>
          <w:lang w:eastAsia="et-EE"/>
        </w:rPr>
        <w:t xml:space="preserve"> vastutuse eelduseid direktiivis täpsemalt määratletud. Positiivsena saab välja tuua, et lõpptekstis on äriühingu vastutus piiratud üksnes tema enda rikkumisest tekitatud kahjuga, samuti on vastutuse eelduseks seatud süü olemasolu. Siiski ei paranda see Ju</w:t>
      </w:r>
      <w:r w:rsidR="00CC7C81">
        <w:rPr>
          <w:rFonts w:ascii="Times New Roman" w:hAnsi="Times New Roman" w:cs="Times New Roman"/>
          <w:color w:val="000000"/>
          <w:lang w:eastAsia="et-EE"/>
        </w:rPr>
        <w:t xml:space="preserve">stiitsministeeriumi </w:t>
      </w:r>
      <w:r w:rsidRPr="00900056">
        <w:rPr>
          <w:rFonts w:ascii="Times New Roman" w:hAnsi="Times New Roman" w:cs="Times New Roman"/>
          <w:color w:val="000000"/>
          <w:lang w:eastAsia="et-EE"/>
        </w:rPr>
        <w:t>hinnangul olukorda, kus tsiviilõiguslik vastutus nähakse direktiivis ette ebamäärase sisuga hoolsuskohustuste rikkumise eest.</w:t>
      </w:r>
      <w:r w:rsidR="00AA7859">
        <w:rPr>
          <w:rFonts w:ascii="Times New Roman" w:hAnsi="Times New Roman" w:cs="Times New Roman"/>
          <w:color w:val="000000"/>
          <w:lang w:eastAsia="et-EE"/>
        </w:rPr>
        <w:t xml:space="preserve"> </w:t>
      </w:r>
      <w:r w:rsidR="007C2086">
        <w:rPr>
          <w:rFonts w:ascii="Times New Roman" w:hAnsi="Times New Roman" w:cs="Times New Roman"/>
          <w:color w:val="000000"/>
          <w:lang w:eastAsia="et-EE"/>
        </w:rPr>
        <w:t>(</w:t>
      </w:r>
      <w:r w:rsidR="00AA7859">
        <w:rPr>
          <w:rFonts w:ascii="Times New Roman" w:hAnsi="Times New Roman" w:cs="Times New Roman"/>
          <w:color w:val="000000"/>
          <w:lang w:eastAsia="et-EE"/>
        </w:rPr>
        <w:t xml:space="preserve">Samuti </w:t>
      </w:r>
      <w:r w:rsidR="00A74D36">
        <w:rPr>
          <w:rFonts w:ascii="Times New Roman" w:hAnsi="Times New Roman" w:cs="Times New Roman"/>
          <w:color w:val="000000"/>
          <w:lang w:eastAsia="et-EE"/>
        </w:rPr>
        <w:t xml:space="preserve">võiks </w:t>
      </w:r>
      <w:r w:rsidR="00DA1E22">
        <w:rPr>
          <w:rFonts w:ascii="Times New Roman" w:hAnsi="Times New Roman" w:cs="Times New Roman"/>
          <w:color w:val="000000"/>
          <w:lang w:eastAsia="et-EE"/>
        </w:rPr>
        <w:t xml:space="preserve">tõusetuda </w:t>
      </w:r>
      <w:r w:rsidR="00A74D36">
        <w:rPr>
          <w:rFonts w:ascii="Times New Roman" w:hAnsi="Times New Roman" w:cs="Times New Roman"/>
          <w:color w:val="000000"/>
          <w:lang w:eastAsia="et-EE"/>
        </w:rPr>
        <w:t>küsi</w:t>
      </w:r>
      <w:r w:rsidR="00DA1E22">
        <w:rPr>
          <w:rFonts w:ascii="Times New Roman" w:hAnsi="Times New Roman" w:cs="Times New Roman"/>
          <w:color w:val="000000"/>
          <w:lang w:eastAsia="et-EE"/>
        </w:rPr>
        <w:t>mus</w:t>
      </w:r>
      <w:r w:rsidR="00A74D36">
        <w:rPr>
          <w:rFonts w:ascii="Times New Roman" w:hAnsi="Times New Roman" w:cs="Times New Roman"/>
          <w:color w:val="000000"/>
          <w:lang w:eastAsia="et-EE"/>
        </w:rPr>
        <w:t xml:space="preserve">, kas </w:t>
      </w:r>
      <w:r w:rsidR="007C2086">
        <w:rPr>
          <w:rFonts w:ascii="Times New Roman" w:hAnsi="Times New Roman" w:cs="Times New Roman"/>
          <w:color w:val="000000"/>
          <w:lang w:eastAsia="et-EE"/>
        </w:rPr>
        <w:t xml:space="preserve">tsiviilõigusliku </w:t>
      </w:r>
      <w:r w:rsidR="00AA7859">
        <w:rPr>
          <w:rFonts w:ascii="Times New Roman" w:hAnsi="Times New Roman" w:cs="Times New Roman"/>
          <w:color w:val="000000"/>
          <w:lang w:eastAsia="et-EE"/>
        </w:rPr>
        <w:t>vastutuse piiramine üksnes äriühingu enda tekitatud kahjuga</w:t>
      </w:r>
      <w:r w:rsidR="00A74D36">
        <w:rPr>
          <w:rFonts w:ascii="Times New Roman" w:hAnsi="Times New Roman" w:cs="Times New Roman"/>
          <w:color w:val="000000"/>
          <w:lang w:eastAsia="et-EE"/>
        </w:rPr>
        <w:t xml:space="preserve"> on sellisena</w:t>
      </w:r>
      <w:r w:rsidR="007C2086">
        <w:rPr>
          <w:rFonts w:ascii="Times New Roman" w:hAnsi="Times New Roman" w:cs="Times New Roman"/>
          <w:color w:val="000000"/>
          <w:lang w:eastAsia="et-EE"/>
        </w:rPr>
        <w:t xml:space="preserve"> ka</w:t>
      </w:r>
      <w:r w:rsidR="00A74D36">
        <w:rPr>
          <w:rFonts w:ascii="Times New Roman" w:hAnsi="Times New Roman" w:cs="Times New Roman"/>
          <w:color w:val="000000"/>
          <w:lang w:eastAsia="et-EE"/>
        </w:rPr>
        <w:t xml:space="preserve"> jätkuvalt kooskõlas direktiiviga seatava hoolsuskohustuse olemusega, mis näib olevat suunatud ikkagi äripartnerite tegevuse eest vastutamisele.</w:t>
      </w:r>
      <w:r w:rsidR="007C2086">
        <w:rPr>
          <w:rFonts w:ascii="Times New Roman" w:hAnsi="Times New Roman" w:cs="Times New Roman"/>
          <w:color w:val="000000"/>
          <w:lang w:eastAsia="et-EE"/>
        </w:rPr>
        <w:t>)</w:t>
      </w:r>
      <w:r w:rsidR="00A74D36">
        <w:rPr>
          <w:rFonts w:ascii="Times New Roman" w:hAnsi="Times New Roman" w:cs="Times New Roman"/>
          <w:color w:val="000000"/>
          <w:lang w:eastAsia="et-EE"/>
        </w:rPr>
        <w:t xml:space="preserve"> </w:t>
      </w:r>
    </w:p>
    <w:p w14:paraId="28C6465B" w14:textId="0C8B9D55" w:rsidR="007C2086" w:rsidRPr="00900056" w:rsidRDefault="00900056" w:rsidP="007C2086">
      <w:pPr>
        <w:ind w:left="360"/>
        <w:jc w:val="both"/>
        <w:rPr>
          <w:rFonts w:ascii="Times New Roman" w:hAnsi="Times New Roman" w:cs="Times New Roman"/>
          <w:color w:val="000000"/>
          <w:lang w:eastAsia="et-EE"/>
        </w:rPr>
      </w:pPr>
      <w:r w:rsidRPr="00900056">
        <w:rPr>
          <w:rFonts w:ascii="Times New Roman" w:hAnsi="Times New Roman" w:cs="Times New Roman"/>
          <w:color w:val="000000"/>
          <w:lang w:eastAsia="et-EE"/>
        </w:rPr>
        <w:t xml:space="preserve">Tsiviilõiguslikku vastutust kahju eest saab rakendada konkreetsete rikkumiste põhjal, tuvastades eelnevalt ettevõtte kohustuse olemasolu ja selle rikkumise, süü ja põhjusliku seose kohustuse rikkumise ja tekkinud kahju vahel. </w:t>
      </w:r>
      <w:r w:rsidR="007C2086">
        <w:rPr>
          <w:rFonts w:ascii="Times New Roman" w:hAnsi="Times New Roman" w:cs="Times New Roman"/>
          <w:color w:val="000000"/>
          <w:lang w:eastAsia="et-EE"/>
        </w:rPr>
        <w:t>D</w:t>
      </w:r>
      <w:r w:rsidRPr="00900056">
        <w:rPr>
          <w:rFonts w:ascii="Times New Roman" w:hAnsi="Times New Roman" w:cs="Times New Roman"/>
          <w:color w:val="000000"/>
          <w:lang w:eastAsia="et-EE"/>
        </w:rPr>
        <w:t>irektiiviga seatavate (eelkõige inimõiguste alaste) hoolsuskohustuste rikkumise puhul võib osutuda kõikide nende asjaolude tuvastamine ülimalt keeruliseks, sest ebaselge sisu ja ulatusega hoolsuskohustuste rikkumisi on deliktiõigusliku vastutuse põhikomponentide alusel väga raske hinnata. See omakorda võib kaasa tuua ebaproportsionaalselt ajamahukad kohtumenetlused, mis koormavad nii kohtusüsteemi kui ka ettevõtteid. Ju</w:t>
      </w:r>
      <w:r w:rsidR="00B738E2">
        <w:rPr>
          <w:rFonts w:ascii="Times New Roman" w:hAnsi="Times New Roman" w:cs="Times New Roman"/>
          <w:color w:val="000000"/>
          <w:lang w:eastAsia="et-EE"/>
        </w:rPr>
        <w:t>stiitsministeeriumi</w:t>
      </w:r>
      <w:r w:rsidRPr="00900056">
        <w:rPr>
          <w:rFonts w:ascii="Times New Roman" w:hAnsi="Times New Roman" w:cs="Times New Roman"/>
          <w:color w:val="000000"/>
          <w:lang w:eastAsia="et-EE"/>
        </w:rPr>
        <w:t xml:space="preserve"> hinnangul ei ole tsiviilvastutust puudutav seis direktiivi lõpptekstis paranenud, pigem vastupidi</w:t>
      </w:r>
      <w:r w:rsidR="00B738E2">
        <w:rPr>
          <w:rFonts w:ascii="Times New Roman" w:hAnsi="Times New Roman" w:cs="Times New Roman"/>
          <w:color w:val="000000"/>
          <w:lang w:eastAsia="et-EE"/>
        </w:rPr>
        <w:t>.</w:t>
      </w:r>
      <w:r w:rsidR="00931954">
        <w:rPr>
          <w:rFonts w:ascii="Times New Roman" w:hAnsi="Times New Roman" w:cs="Times New Roman"/>
          <w:color w:val="000000"/>
          <w:lang w:eastAsia="et-EE"/>
        </w:rPr>
        <w:t xml:space="preserve"> V</w:t>
      </w:r>
      <w:r w:rsidRPr="00900056">
        <w:rPr>
          <w:rFonts w:ascii="Times New Roman" w:hAnsi="Times New Roman" w:cs="Times New Roman"/>
          <w:color w:val="000000"/>
          <w:lang w:eastAsia="et-EE"/>
        </w:rPr>
        <w:t>õrreldes üldise lähenemisviisi tekstis saavutatud tulemusega on tsiviilvastutuse sätted muutunud veelgi problemaatilisemaks</w:t>
      </w:r>
      <w:r w:rsidR="00931954">
        <w:rPr>
          <w:rFonts w:ascii="Times New Roman" w:hAnsi="Times New Roman" w:cs="Times New Roman"/>
          <w:color w:val="000000"/>
          <w:lang w:eastAsia="et-EE"/>
        </w:rPr>
        <w:t xml:space="preserve">, sest lisandunud on </w:t>
      </w:r>
      <w:r w:rsidR="00931954" w:rsidRPr="00605DFE">
        <w:rPr>
          <w:rFonts w:ascii="Times New Roman" w:hAnsi="Times New Roman" w:cs="Times New Roman"/>
          <w:color w:val="000000"/>
          <w:lang w:eastAsia="et-EE"/>
        </w:rPr>
        <w:t>tsiviilkohtumenetlu</w:t>
      </w:r>
      <w:r w:rsidR="007C2086">
        <w:rPr>
          <w:rFonts w:ascii="Times New Roman" w:hAnsi="Times New Roman" w:cs="Times New Roman"/>
          <w:color w:val="000000"/>
          <w:lang w:eastAsia="et-EE"/>
        </w:rPr>
        <w:t xml:space="preserve">slikud </w:t>
      </w:r>
      <w:r w:rsidR="00931954" w:rsidRPr="00605DFE">
        <w:rPr>
          <w:rFonts w:ascii="Times New Roman" w:hAnsi="Times New Roman" w:cs="Times New Roman"/>
          <w:color w:val="000000"/>
          <w:lang w:eastAsia="et-EE"/>
        </w:rPr>
        <w:t>elemendid</w:t>
      </w:r>
      <w:r w:rsidR="00931954">
        <w:rPr>
          <w:rFonts w:ascii="Times New Roman" w:hAnsi="Times New Roman" w:cs="Times New Roman"/>
          <w:color w:val="000000"/>
          <w:lang w:eastAsia="et-EE"/>
        </w:rPr>
        <w:t xml:space="preserve"> (</w:t>
      </w:r>
      <w:r w:rsidR="00B738E2">
        <w:rPr>
          <w:rFonts w:ascii="Times New Roman" w:hAnsi="Times New Roman" w:cs="Times New Roman"/>
          <w:color w:val="000000"/>
          <w:lang w:eastAsia="et-EE"/>
        </w:rPr>
        <w:t>mh</w:t>
      </w:r>
      <w:r w:rsidR="00931954">
        <w:rPr>
          <w:rFonts w:ascii="Times New Roman" w:hAnsi="Times New Roman" w:cs="Times New Roman"/>
          <w:color w:val="000000"/>
          <w:lang w:eastAsia="et-EE"/>
        </w:rPr>
        <w:t xml:space="preserve"> tõendite kogumise ja </w:t>
      </w:r>
      <w:r w:rsidR="007C2086">
        <w:rPr>
          <w:rFonts w:ascii="Times New Roman" w:hAnsi="Times New Roman" w:cs="Times New Roman"/>
          <w:color w:val="000000"/>
          <w:lang w:eastAsia="et-EE"/>
        </w:rPr>
        <w:t xml:space="preserve">kollektiivhagi </w:t>
      </w:r>
      <w:r w:rsidR="00931954">
        <w:rPr>
          <w:rFonts w:ascii="Times New Roman" w:hAnsi="Times New Roman" w:cs="Times New Roman"/>
          <w:color w:val="000000"/>
          <w:lang w:eastAsia="et-EE"/>
        </w:rPr>
        <w:t>esitamise</w:t>
      </w:r>
      <w:r w:rsidR="00B738E2">
        <w:rPr>
          <w:rFonts w:ascii="Times New Roman" w:hAnsi="Times New Roman" w:cs="Times New Roman"/>
          <w:color w:val="000000"/>
          <w:lang w:eastAsia="et-EE"/>
        </w:rPr>
        <w:t xml:space="preserve"> võimaluste</w:t>
      </w:r>
      <w:r w:rsidR="00931954">
        <w:rPr>
          <w:rFonts w:ascii="Times New Roman" w:hAnsi="Times New Roman" w:cs="Times New Roman"/>
          <w:color w:val="000000"/>
          <w:lang w:eastAsia="et-EE"/>
        </w:rPr>
        <w:t xml:space="preserve"> kohta), mille </w:t>
      </w:r>
      <w:r w:rsidR="007C2086">
        <w:rPr>
          <w:rFonts w:ascii="Times New Roman" w:hAnsi="Times New Roman" w:cs="Times New Roman"/>
          <w:color w:val="000000"/>
          <w:lang w:eastAsia="et-EE"/>
        </w:rPr>
        <w:t>vajadus on küsitav ja loob pinnase tsiviilprotsessi õiguse killustumiseks.</w:t>
      </w:r>
    </w:p>
    <w:p w14:paraId="754A56C6" w14:textId="249E4690" w:rsidR="007C2086" w:rsidRPr="00B32F9E" w:rsidRDefault="007C2086" w:rsidP="00B32F9E">
      <w:pPr>
        <w:numPr>
          <w:ilvl w:val="2"/>
          <w:numId w:val="1"/>
        </w:numPr>
        <w:jc w:val="both"/>
        <w:rPr>
          <w:rFonts w:ascii="Times New Roman" w:hAnsi="Times New Roman" w:cs="Times New Roman"/>
          <w:b/>
          <w:bCs/>
          <w:color w:val="000000"/>
          <w:lang w:eastAsia="et-EE"/>
        </w:rPr>
      </w:pPr>
      <w:r w:rsidRPr="00B32F9E">
        <w:rPr>
          <w:rFonts w:ascii="Times New Roman" w:hAnsi="Times New Roman" w:cs="Times New Roman"/>
          <w:b/>
          <w:bCs/>
          <w:color w:val="000000"/>
          <w:lang w:eastAsia="et-EE"/>
        </w:rPr>
        <w:lastRenderedPageBreak/>
        <w:t xml:space="preserve">Eesti jääb </w:t>
      </w:r>
      <w:proofErr w:type="spellStart"/>
      <w:r w:rsidRPr="00B32F9E">
        <w:rPr>
          <w:rFonts w:ascii="Times New Roman" w:hAnsi="Times New Roman" w:cs="Times New Roman"/>
          <w:b/>
          <w:bCs/>
          <w:color w:val="000000"/>
          <w:lang w:eastAsia="et-EE"/>
        </w:rPr>
        <w:t>triloogide</w:t>
      </w:r>
      <w:proofErr w:type="spellEnd"/>
      <w:r w:rsidRPr="00B32F9E">
        <w:rPr>
          <w:rFonts w:ascii="Times New Roman" w:hAnsi="Times New Roman" w:cs="Times New Roman"/>
          <w:b/>
          <w:bCs/>
          <w:color w:val="000000"/>
          <w:lang w:eastAsia="et-EE"/>
        </w:rPr>
        <w:t xml:space="preserve"> käigus saavutatud direktiivi lõppteksti heakskiitmisel erapooletuks, kui selles kokku lepitud lahendused ei ole kooskõlas Eesti seisukohtadega. </w:t>
      </w:r>
    </w:p>
    <w:p w14:paraId="2DB492F2" w14:textId="291BB5B5" w:rsidR="00DE24A0" w:rsidRPr="004D26DA" w:rsidRDefault="007C2086" w:rsidP="00900056">
      <w:pPr>
        <w:ind w:left="360"/>
        <w:jc w:val="both"/>
        <w:rPr>
          <w:rFonts w:ascii="Times New Roman" w:eastAsia="Times New Roman" w:hAnsi="Times New Roman" w:cs="Times New Roman"/>
          <w:b/>
          <w:bCs/>
        </w:rPr>
      </w:pPr>
      <w:r w:rsidRPr="00B32F9E">
        <w:rPr>
          <w:rFonts w:ascii="Times New Roman" w:hAnsi="Times New Roman" w:cs="Times New Roman"/>
          <w:b/>
          <w:bCs/>
          <w:color w:val="000000"/>
          <w:lang w:eastAsia="et-EE"/>
        </w:rPr>
        <w:t>Selgitus:</w:t>
      </w:r>
      <w:r>
        <w:rPr>
          <w:rFonts w:ascii="Times New Roman" w:hAnsi="Times New Roman" w:cs="Times New Roman"/>
          <w:color w:val="000000"/>
          <w:lang w:eastAsia="et-EE"/>
        </w:rPr>
        <w:t xml:space="preserve"> D</w:t>
      </w:r>
      <w:r w:rsidR="00900056" w:rsidRPr="00900056">
        <w:rPr>
          <w:rFonts w:ascii="Times New Roman" w:hAnsi="Times New Roman" w:cs="Times New Roman"/>
          <w:color w:val="000000"/>
          <w:lang w:eastAsia="et-EE"/>
        </w:rPr>
        <w:t>irektiiv on laiaulatusliku mõjuga ning Eesti peab oluliseks, et selle rakendamine toimuks arusaadavate meetmetega ja aitaks saavutada direktiiviga seatavaid eesmärke. Arvestades potentsiaalseid probleeme hoolsuskohustuse sisustamise</w:t>
      </w:r>
      <w:r w:rsidR="004D26DA">
        <w:rPr>
          <w:rFonts w:ascii="Times New Roman" w:hAnsi="Times New Roman" w:cs="Times New Roman"/>
          <w:color w:val="000000"/>
          <w:lang w:eastAsia="et-EE"/>
        </w:rPr>
        <w:t xml:space="preserve"> ja </w:t>
      </w:r>
      <w:r w:rsidR="00900056" w:rsidRPr="00900056">
        <w:rPr>
          <w:rFonts w:ascii="Times New Roman" w:hAnsi="Times New Roman" w:cs="Times New Roman"/>
          <w:color w:val="000000"/>
          <w:lang w:eastAsia="et-EE"/>
        </w:rPr>
        <w:t>tsiviilvastutuse kohaldamisega</w:t>
      </w:r>
      <w:r w:rsidR="004D26DA">
        <w:rPr>
          <w:rFonts w:ascii="Times New Roman" w:hAnsi="Times New Roman" w:cs="Times New Roman"/>
          <w:color w:val="000000"/>
          <w:lang w:eastAsia="et-EE"/>
        </w:rPr>
        <w:t xml:space="preserve"> ning sellega kaasnevat halduskoormust nii </w:t>
      </w:r>
      <w:r w:rsidR="00AA7859">
        <w:rPr>
          <w:rFonts w:ascii="Times New Roman" w:hAnsi="Times New Roman" w:cs="Times New Roman"/>
          <w:color w:val="000000"/>
          <w:lang w:eastAsia="et-EE"/>
        </w:rPr>
        <w:t>äriühingute</w:t>
      </w:r>
      <w:r w:rsidR="004D26DA">
        <w:rPr>
          <w:rFonts w:ascii="Times New Roman" w:hAnsi="Times New Roman" w:cs="Times New Roman"/>
          <w:color w:val="000000"/>
          <w:lang w:eastAsia="et-EE"/>
        </w:rPr>
        <w:t>le kui ka riigile</w:t>
      </w:r>
      <w:r w:rsidR="00900056" w:rsidRPr="00900056">
        <w:rPr>
          <w:rFonts w:ascii="Times New Roman" w:hAnsi="Times New Roman" w:cs="Times New Roman"/>
          <w:color w:val="000000"/>
          <w:lang w:eastAsia="et-EE"/>
        </w:rPr>
        <w:t xml:space="preserve">, </w:t>
      </w:r>
      <w:r w:rsidR="007C785C" w:rsidRPr="00B32F9E">
        <w:rPr>
          <w:rFonts w:ascii="Times New Roman" w:hAnsi="Times New Roman" w:cs="Times New Roman"/>
          <w:color w:val="000000"/>
          <w:lang w:eastAsia="et-EE"/>
        </w:rPr>
        <w:t xml:space="preserve">teeme ettepaneku </w:t>
      </w:r>
      <w:r w:rsidR="00900056" w:rsidRPr="00B32F9E">
        <w:rPr>
          <w:rFonts w:ascii="Times New Roman" w:hAnsi="Times New Roman" w:cs="Times New Roman"/>
          <w:color w:val="000000"/>
          <w:lang w:eastAsia="et-EE"/>
        </w:rPr>
        <w:t xml:space="preserve">jääda </w:t>
      </w:r>
      <w:r w:rsidR="006E6B04" w:rsidRPr="00B32F9E">
        <w:rPr>
          <w:rFonts w:ascii="Times New Roman" w:hAnsi="Times New Roman" w:cs="Times New Roman"/>
          <w:color w:val="000000"/>
          <w:lang w:eastAsia="et-EE"/>
        </w:rPr>
        <w:t xml:space="preserve">direktiivi </w:t>
      </w:r>
      <w:r w:rsidR="00900056" w:rsidRPr="00B32F9E">
        <w:rPr>
          <w:rFonts w:ascii="Times New Roman" w:hAnsi="Times New Roman" w:cs="Times New Roman"/>
          <w:color w:val="000000"/>
          <w:lang w:eastAsia="et-EE"/>
        </w:rPr>
        <w:t>eelnõu lõppteksti heakskiitmisel alaliste esindajate komitee istungil erapooletuks</w:t>
      </w:r>
      <w:r w:rsidR="00B738E2" w:rsidRPr="00B32F9E">
        <w:rPr>
          <w:rFonts w:ascii="Times New Roman" w:hAnsi="Times New Roman" w:cs="Times New Roman"/>
          <w:color w:val="000000"/>
          <w:lang w:eastAsia="et-EE"/>
        </w:rPr>
        <w:t>.</w:t>
      </w:r>
    </w:p>
    <w:p w14:paraId="66D872C5" w14:textId="77777777" w:rsidR="008B0588" w:rsidRDefault="008B0588"/>
    <w:sectPr w:rsidR="008B05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1E34" w14:textId="77777777" w:rsidR="002C2ACB" w:rsidRDefault="002C2ACB" w:rsidP="002C2ACB">
      <w:pPr>
        <w:spacing w:after="0" w:line="240" w:lineRule="auto"/>
      </w:pPr>
      <w:r>
        <w:separator/>
      </w:r>
    </w:p>
  </w:endnote>
  <w:endnote w:type="continuationSeparator" w:id="0">
    <w:p w14:paraId="1AF24AC7" w14:textId="77777777" w:rsidR="002C2ACB" w:rsidRDefault="002C2ACB" w:rsidP="002C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9642"/>
      <w:docPartObj>
        <w:docPartGallery w:val="Page Numbers (Bottom of Page)"/>
        <w:docPartUnique/>
      </w:docPartObj>
    </w:sdtPr>
    <w:sdtEndPr/>
    <w:sdtContent>
      <w:p w14:paraId="26C6CF52" w14:textId="032109DB" w:rsidR="002852D7" w:rsidRDefault="002852D7">
        <w:pPr>
          <w:pStyle w:val="Jalus"/>
          <w:jc w:val="center"/>
        </w:pPr>
        <w:r>
          <w:fldChar w:fldCharType="begin"/>
        </w:r>
        <w:r>
          <w:instrText>PAGE   \* MERGEFORMAT</w:instrText>
        </w:r>
        <w:r>
          <w:fldChar w:fldCharType="separate"/>
        </w:r>
        <w:r>
          <w:t>2</w:t>
        </w:r>
        <w:r>
          <w:fldChar w:fldCharType="end"/>
        </w:r>
      </w:p>
    </w:sdtContent>
  </w:sdt>
  <w:p w14:paraId="15019B34" w14:textId="77777777" w:rsidR="002852D7" w:rsidRDefault="002852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AA3C" w14:textId="77777777" w:rsidR="002C2ACB" w:rsidRDefault="002C2ACB" w:rsidP="002C2ACB">
      <w:pPr>
        <w:spacing w:after="0" w:line="240" w:lineRule="auto"/>
      </w:pPr>
      <w:r>
        <w:separator/>
      </w:r>
    </w:p>
  </w:footnote>
  <w:footnote w:type="continuationSeparator" w:id="0">
    <w:p w14:paraId="1BAF0E17" w14:textId="77777777" w:rsidR="002C2ACB" w:rsidRDefault="002C2ACB" w:rsidP="002C2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2E15"/>
    <w:multiLevelType w:val="hybridMultilevel"/>
    <w:tmpl w:val="8DCC443E"/>
    <w:lvl w:ilvl="0" w:tplc="F38A79A0">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 w15:restartNumberingAfterBreak="0">
    <w:nsid w:val="1697437C"/>
    <w:multiLevelType w:val="hybridMultilevel"/>
    <w:tmpl w:val="F64A16DA"/>
    <w:lvl w:ilvl="0" w:tplc="58C2610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C93103"/>
    <w:multiLevelType w:val="hybridMultilevel"/>
    <w:tmpl w:val="F1AC122A"/>
    <w:lvl w:ilvl="0" w:tplc="04250011">
      <w:start w:val="1"/>
      <w:numFmt w:val="decimal"/>
      <w:lvlText w:val="%1)"/>
      <w:lvlJc w:val="left"/>
      <w:pPr>
        <w:ind w:left="1423" w:hanging="360"/>
      </w:pPr>
    </w:lvl>
    <w:lvl w:ilvl="1" w:tplc="04250019" w:tentative="1">
      <w:start w:val="1"/>
      <w:numFmt w:val="lowerLetter"/>
      <w:lvlText w:val="%2."/>
      <w:lvlJc w:val="left"/>
      <w:pPr>
        <w:ind w:left="2143" w:hanging="360"/>
      </w:pPr>
    </w:lvl>
    <w:lvl w:ilvl="2" w:tplc="0425001B" w:tentative="1">
      <w:start w:val="1"/>
      <w:numFmt w:val="lowerRoman"/>
      <w:lvlText w:val="%3."/>
      <w:lvlJc w:val="right"/>
      <w:pPr>
        <w:ind w:left="2863" w:hanging="180"/>
      </w:pPr>
    </w:lvl>
    <w:lvl w:ilvl="3" w:tplc="0425000F" w:tentative="1">
      <w:start w:val="1"/>
      <w:numFmt w:val="decimal"/>
      <w:lvlText w:val="%4."/>
      <w:lvlJc w:val="left"/>
      <w:pPr>
        <w:ind w:left="3583" w:hanging="360"/>
      </w:pPr>
    </w:lvl>
    <w:lvl w:ilvl="4" w:tplc="04250019" w:tentative="1">
      <w:start w:val="1"/>
      <w:numFmt w:val="lowerLetter"/>
      <w:lvlText w:val="%5."/>
      <w:lvlJc w:val="left"/>
      <w:pPr>
        <w:ind w:left="4303" w:hanging="360"/>
      </w:pPr>
    </w:lvl>
    <w:lvl w:ilvl="5" w:tplc="0425001B" w:tentative="1">
      <w:start w:val="1"/>
      <w:numFmt w:val="lowerRoman"/>
      <w:lvlText w:val="%6."/>
      <w:lvlJc w:val="right"/>
      <w:pPr>
        <w:ind w:left="5023" w:hanging="180"/>
      </w:pPr>
    </w:lvl>
    <w:lvl w:ilvl="6" w:tplc="0425000F" w:tentative="1">
      <w:start w:val="1"/>
      <w:numFmt w:val="decimal"/>
      <w:lvlText w:val="%7."/>
      <w:lvlJc w:val="left"/>
      <w:pPr>
        <w:ind w:left="5743" w:hanging="360"/>
      </w:pPr>
    </w:lvl>
    <w:lvl w:ilvl="7" w:tplc="04250019" w:tentative="1">
      <w:start w:val="1"/>
      <w:numFmt w:val="lowerLetter"/>
      <w:lvlText w:val="%8."/>
      <w:lvlJc w:val="left"/>
      <w:pPr>
        <w:ind w:left="6463" w:hanging="360"/>
      </w:pPr>
    </w:lvl>
    <w:lvl w:ilvl="8" w:tplc="0425001B" w:tentative="1">
      <w:start w:val="1"/>
      <w:numFmt w:val="lowerRoman"/>
      <w:lvlText w:val="%9."/>
      <w:lvlJc w:val="right"/>
      <w:pPr>
        <w:ind w:left="7183" w:hanging="180"/>
      </w:pPr>
    </w:lvl>
  </w:abstractNum>
  <w:abstractNum w:abstractNumId="3" w15:restartNumberingAfterBreak="0">
    <w:nsid w:val="32CB5212"/>
    <w:multiLevelType w:val="hybridMultilevel"/>
    <w:tmpl w:val="AD5875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FD1168"/>
    <w:multiLevelType w:val="multilevel"/>
    <w:tmpl w:val="B9F228A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DF7186"/>
    <w:multiLevelType w:val="multilevel"/>
    <w:tmpl w:val="10EED60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0"/>
      <w:numFmt w:val="bullet"/>
      <w:lvlText w:val="-"/>
      <w:lvlJc w:val="left"/>
      <w:pPr>
        <w:ind w:left="720" w:hanging="360"/>
      </w:pPr>
      <w:rPr>
        <w:rFonts w:ascii="Calibri" w:eastAsiaTheme="minorHAnsi" w:hAnsi="Calibri" w:cs="Calibr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402D9C"/>
    <w:multiLevelType w:val="hybridMultilevel"/>
    <w:tmpl w:val="8FD41BD4"/>
    <w:lvl w:ilvl="0" w:tplc="0598DBD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AF5685E"/>
    <w:multiLevelType w:val="multilevel"/>
    <w:tmpl w:val="A4ACF86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12122647">
    <w:abstractNumId w:val="4"/>
  </w:num>
  <w:num w:numId="2" w16cid:durableId="1591238312">
    <w:abstractNumId w:val="1"/>
  </w:num>
  <w:num w:numId="3" w16cid:durableId="390931411">
    <w:abstractNumId w:val="6"/>
  </w:num>
  <w:num w:numId="4" w16cid:durableId="1236747845">
    <w:abstractNumId w:val="0"/>
  </w:num>
  <w:num w:numId="5" w16cid:durableId="1284071401">
    <w:abstractNumId w:val="2"/>
  </w:num>
  <w:num w:numId="6" w16cid:durableId="341009520">
    <w:abstractNumId w:val="3"/>
  </w:num>
  <w:num w:numId="7" w16cid:durableId="1611165303">
    <w:abstractNumId w:val="5"/>
  </w:num>
  <w:num w:numId="8" w16cid:durableId="529532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7F"/>
    <w:rsid w:val="00000373"/>
    <w:rsid w:val="0000071B"/>
    <w:rsid w:val="00021250"/>
    <w:rsid w:val="000231DA"/>
    <w:rsid w:val="00041116"/>
    <w:rsid w:val="00044D4B"/>
    <w:rsid w:val="00051D2C"/>
    <w:rsid w:val="0006610E"/>
    <w:rsid w:val="000A7EE4"/>
    <w:rsid w:val="000C07DF"/>
    <w:rsid w:val="00100655"/>
    <w:rsid w:val="00101AD5"/>
    <w:rsid w:val="00102E76"/>
    <w:rsid w:val="00106E47"/>
    <w:rsid w:val="001222A2"/>
    <w:rsid w:val="00174849"/>
    <w:rsid w:val="0018401D"/>
    <w:rsid w:val="00194514"/>
    <w:rsid w:val="00196D8C"/>
    <w:rsid w:val="001A1F94"/>
    <w:rsid w:val="0020489F"/>
    <w:rsid w:val="002250D5"/>
    <w:rsid w:val="00245572"/>
    <w:rsid w:val="00255810"/>
    <w:rsid w:val="002778E2"/>
    <w:rsid w:val="002852D7"/>
    <w:rsid w:val="002853D6"/>
    <w:rsid w:val="0029143E"/>
    <w:rsid w:val="00294CCA"/>
    <w:rsid w:val="002A2520"/>
    <w:rsid w:val="002C2ACB"/>
    <w:rsid w:val="002D19FB"/>
    <w:rsid w:val="002D2FB4"/>
    <w:rsid w:val="002F1B9E"/>
    <w:rsid w:val="00323B25"/>
    <w:rsid w:val="003261C6"/>
    <w:rsid w:val="0033627F"/>
    <w:rsid w:val="00346FEC"/>
    <w:rsid w:val="00365C60"/>
    <w:rsid w:val="003800DD"/>
    <w:rsid w:val="003852D5"/>
    <w:rsid w:val="0038564D"/>
    <w:rsid w:val="003B574D"/>
    <w:rsid w:val="003C2AFC"/>
    <w:rsid w:val="003D22FD"/>
    <w:rsid w:val="003F261A"/>
    <w:rsid w:val="0042682E"/>
    <w:rsid w:val="004D26DA"/>
    <w:rsid w:val="004D3582"/>
    <w:rsid w:val="004E5554"/>
    <w:rsid w:val="004F4361"/>
    <w:rsid w:val="004F782F"/>
    <w:rsid w:val="004F7927"/>
    <w:rsid w:val="005026E5"/>
    <w:rsid w:val="005055D8"/>
    <w:rsid w:val="00521124"/>
    <w:rsid w:val="005265C8"/>
    <w:rsid w:val="00551B8A"/>
    <w:rsid w:val="005578FF"/>
    <w:rsid w:val="00580E1B"/>
    <w:rsid w:val="005D0649"/>
    <w:rsid w:val="005E7617"/>
    <w:rsid w:val="00604203"/>
    <w:rsid w:val="00605DFE"/>
    <w:rsid w:val="006073DA"/>
    <w:rsid w:val="006146E4"/>
    <w:rsid w:val="00625A69"/>
    <w:rsid w:val="00632C83"/>
    <w:rsid w:val="006431A5"/>
    <w:rsid w:val="006534C3"/>
    <w:rsid w:val="006952E8"/>
    <w:rsid w:val="006E6B04"/>
    <w:rsid w:val="00704B61"/>
    <w:rsid w:val="007845BF"/>
    <w:rsid w:val="00786B1B"/>
    <w:rsid w:val="007C2086"/>
    <w:rsid w:val="007C785C"/>
    <w:rsid w:val="007D0C71"/>
    <w:rsid w:val="007D4E4B"/>
    <w:rsid w:val="007D7217"/>
    <w:rsid w:val="007E2165"/>
    <w:rsid w:val="00823405"/>
    <w:rsid w:val="00844AA6"/>
    <w:rsid w:val="0085608A"/>
    <w:rsid w:val="00862ED1"/>
    <w:rsid w:val="008803E7"/>
    <w:rsid w:val="008836DA"/>
    <w:rsid w:val="008B0588"/>
    <w:rsid w:val="008B13DB"/>
    <w:rsid w:val="008B7189"/>
    <w:rsid w:val="008E3B85"/>
    <w:rsid w:val="00900056"/>
    <w:rsid w:val="00907774"/>
    <w:rsid w:val="00911EDB"/>
    <w:rsid w:val="00931954"/>
    <w:rsid w:val="0095480A"/>
    <w:rsid w:val="009574DC"/>
    <w:rsid w:val="009847FE"/>
    <w:rsid w:val="009D0CCC"/>
    <w:rsid w:val="009E79AD"/>
    <w:rsid w:val="009F2C1E"/>
    <w:rsid w:val="009F3675"/>
    <w:rsid w:val="00A02157"/>
    <w:rsid w:val="00A4204B"/>
    <w:rsid w:val="00A74D36"/>
    <w:rsid w:val="00AA7859"/>
    <w:rsid w:val="00AB3C88"/>
    <w:rsid w:val="00B32F9E"/>
    <w:rsid w:val="00B4713C"/>
    <w:rsid w:val="00B522BB"/>
    <w:rsid w:val="00B5518B"/>
    <w:rsid w:val="00B732F5"/>
    <w:rsid w:val="00B738E2"/>
    <w:rsid w:val="00BB21B9"/>
    <w:rsid w:val="00BE1608"/>
    <w:rsid w:val="00BE53AC"/>
    <w:rsid w:val="00C27351"/>
    <w:rsid w:val="00C404C2"/>
    <w:rsid w:val="00C47F1E"/>
    <w:rsid w:val="00C71FE6"/>
    <w:rsid w:val="00C80D32"/>
    <w:rsid w:val="00CC7C66"/>
    <w:rsid w:val="00CC7C81"/>
    <w:rsid w:val="00CD14EF"/>
    <w:rsid w:val="00CF3C1B"/>
    <w:rsid w:val="00D60840"/>
    <w:rsid w:val="00D846D3"/>
    <w:rsid w:val="00D93B0B"/>
    <w:rsid w:val="00D96E7F"/>
    <w:rsid w:val="00DA1E22"/>
    <w:rsid w:val="00DC7DD8"/>
    <w:rsid w:val="00DE09FA"/>
    <w:rsid w:val="00DE24A0"/>
    <w:rsid w:val="00DF3371"/>
    <w:rsid w:val="00E07D56"/>
    <w:rsid w:val="00E34EE0"/>
    <w:rsid w:val="00E3582E"/>
    <w:rsid w:val="00E52B26"/>
    <w:rsid w:val="00E9691B"/>
    <w:rsid w:val="00ED1D5B"/>
    <w:rsid w:val="00EE2BF4"/>
    <w:rsid w:val="00EF69BC"/>
    <w:rsid w:val="00F02FA3"/>
    <w:rsid w:val="00F20B30"/>
    <w:rsid w:val="00F232D0"/>
    <w:rsid w:val="00F57ED1"/>
    <w:rsid w:val="00F74128"/>
    <w:rsid w:val="00F81155"/>
    <w:rsid w:val="00FB619F"/>
    <w:rsid w:val="00FE38C7"/>
    <w:rsid w:val="00FE4DD8"/>
    <w:rsid w:val="00FF0F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BC58"/>
  <w15:chartTrackingRefBased/>
  <w15:docId w15:val="{A6E3DD25-774F-40C3-9F3A-9E0A2E5D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627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Normal bullet 2,Bullet list,Numbered List,List Paragraph1,1st level - Bullet List Paragraph,Lettre d'introduction,Paragrafo elenco,Fiche List Paragraph,Task Body,Viñetas (Inicio Parrafo),3 Txt tabla,Zerrenda-paragrafoa,Dot pt,En tête 1,L,3"/>
    <w:basedOn w:val="Normaallaad"/>
    <w:link w:val="LoendilikMrk"/>
    <w:uiPriority w:val="34"/>
    <w:qFormat/>
    <w:rsid w:val="0033627F"/>
    <w:pPr>
      <w:ind w:left="720"/>
      <w:contextualSpacing/>
    </w:pPr>
  </w:style>
  <w:style w:type="character" w:customStyle="1" w:styleId="LoendilikMrk">
    <w:name w:val="Loendi lõik Märk"/>
    <w:aliases w:val="Normal bullet 2 Märk,Bullet list Märk,Numbered List Märk,List Paragraph1 Märk,1st level - Bullet List Paragraph Märk,Lettre d'introduction Märk,Paragrafo elenco Märk,Fiche List Paragraph Märk,Task Body Märk,Viñetas (Inicio Parrafo) Märk"/>
    <w:basedOn w:val="Liguvaikefont"/>
    <w:link w:val="Loendilik"/>
    <w:uiPriority w:val="34"/>
    <w:qFormat/>
    <w:locked/>
    <w:rsid w:val="0033627F"/>
  </w:style>
  <w:style w:type="character" w:styleId="Kommentaariviide">
    <w:name w:val="annotation reference"/>
    <w:basedOn w:val="Liguvaikefont"/>
    <w:uiPriority w:val="99"/>
    <w:semiHidden/>
    <w:unhideWhenUsed/>
    <w:rsid w:val="0033627F"/>
    <w:rPr>
      <w:sz w:val="16"/>
      <w:szCs w:val="16"/>
    </w:rPr>
  </w:style>
  <w:style w:type="paragraph" w:styleId="Kommentaaritekst">
    <w:name w:val="annotation text"/>
    <w:basedOn w:val="Normaallaad"/>
    <w:link w:val="KommentaaritekstMrk"/>
    <w:uiPriority w:val="99"/>
    <w:unhideWhenUsed/>
    <w:rsid w:val="0033627F"/>
    <w:pPr>
      <w:spacing w:line="240" w:lineRule="auto"/>
    </w:pPr>
    <w:rPr>
      <w:sz w:val="20"/>
      <w:szCs w:val="20"/>
    </w:rPr>
  </w:style>
  <w:style w:type="character" w:customStyle="1" w:styleId="KommentaaritekstMrk">
    <w:name w:val="Kommentaari tekst Märk"/>
    <w:basedOn w:val="Liguvaikefont"/>
    <w:link w:val="Kommentaaritekst"/>
    <w:uiPriority w:val="99"/>
    <w:rsid w:val="0033627F"/>
    <w:rPr>
      <w:sz w:val="20"/>
      <w:szCs w:val="20"/>
    </w:rPr>
  </w:style>
  <w:style w:type="paragraph" w:customStyle="1" w:styleId="Default">
    <w:name w:val="Default"/>
    <w:rsid w:val="008836DA"/>
    <w:pPr>
      <w:autoSpaceDE w:val="0"/>
      <w:autoSpaceDN w:val="0"/>
      <w:adjustRightInd w:val="0"/>
      <w:spacing w:after="0" w:line="240" w:lineRule="auto"/>
    </w:pPr>
    <w:rPr>
      <w:rFonts w:ascii="Times New Roman" w:hAnsi="Times New Roman" w:cs="Times New Roman"/>
      <w:color w:val="000000"/>
      <w:sz w:val="24"/>
      <w:szCs w:val="24"/>
    </w:rPr>
  </w:style>
  <w:style w:type="paragraph" w:styleId="Allmrkusetekst">
    <w:name w:val="footnote text"/>
    <w:basedOn w:val="Normaallaad"/>
    <w:link w:val="AllmrkusetekstMrk"/>
    <w:uiPriority w:val="99"/>
    <w:unhideWhenUsed/>
    <w:rsid w:val="002C2ACB"/>
    <w:pPr>
      <w:spacing w:after="0" w:line="240" w:lineRule="auto"/>
    </w:pPr>
    <w:rPr>
      <w:sz w:val="20"/>
      <w:szCs w:val="20"/>
    </w:rPr>
  </w:style>
  <w:style w:type="character" w:customStyle="1" w:styleId="AllmrkusetekstMrk">
    <w:name w:val="Allmärkuse tekst Märk"/>
    <w:basedOn w:val="Liguvaikefont"/>
    <w:link w:val="Allmrkusetekst"/>
    <w:uiPriority w:val="99"/>
    <w:rsid w:val="002C2ACB"/>
    <w:rPr>
      <w:sz w:val="20"/>
      <w:szCs w:val="20"/>
    </w:rPr>
  </w:style>
  <w:style w:type="character" w:styleId="Allmrkuseviide">
    <w:name w:val="footnote reference"/>
    <w:basedOn w:val="Liguvaikefont"/>
    <w:link w:val="ftrefCharCharCharCharCharCharCharCharChar"/>
    <w:uiPriority w:val="99"/>
    <w:unhideWhenUsed/>
    <w:rsid w:val="002C2ACB"/>
    <w:rPr>
      <w:vertAlign w:val="superscript"/>
    </w:rPr>
  </w:style>
  <w:style w:type="paragraph" w:styleId="Kommentaariteema">
    <w:name w:val="annotation subject"/>
    <w:basedOn w:val="Kommentaaritekst"/>
    <w:next w:val="Kommentaaritekst"/>
    <w:link w:val="KommentaariteemaMrk"/>
    <w:uiPriority w:val="99"/>
    <w:semiHidden/>
    <w:unhideWhenUsed/>
    <w:rsid w:val="0020489F"/>
    <w:rPr>
      <w:b/>
      <w:bCs/>
    </w:rPr>
  </w:style>
  <w:style w:type="character" w:customStyle="1" w:styleId="KommentaariteemaMrk">
    <w:name w:val="Kommentaari teema Märk"/>
    <w:basedOn w:val="KommentaaritekstMrk"/>
    <w:link w:val="Kommentaariteema"/>
    <w:uiPriority w:val="99"/>
    <w:semiHidden/>
    <w:rsid w:val="0020489F"/>
    <w:rPr>
      <w:b/>
      <w:bCs/>
      <w:sz w:val="20"/>
      <w:szCs w:val="20"/>
    </w:rPr>
  </w:style>
  <w:style w:type="character" w:styleId="Hperlink">
    <w:name w:val="Hyperlink"/>
    <w:basedOn w:val="Liguvaikefont"/>
    <w:unhideWhenUsed/>
    <w:rsid w:val="00B522BB"/>
    <w:rPr>
      <w:color w:val="0563C1" w:themeColor="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allaad"/>
    <w:next w:val="Normaallaad"/>
    <w:link w:val="Allmrkuseviide"/>
    <w:uiPriority w:val="99"/>
    <w:rsid w:val="00B522BB"/>
    <w:pPr>
      <w:spacing w:line="240" w:lineRule="exact"/>
    </w:pPr>
    <w:rPr>
      <w:vertAlign w:val="superscript"/>
    </w:rPr>
  </w:style>
  <w:style w:type="paragraph" w:styleId="Redaktsioon">
    <w:name w:val="Revision"/>
    <w:hidden/>
    <w:uiPriority w:val="99"/>
    <w:semiHidden/>
    <w:rsid w:val="00844AA6"/>
    <w:pPr>
      <w:spacing w:after="0" w:line="240" w:lineRule="auto"/>
    </w:pPr>
  </w:style>
  <w:style w:type="table" w:styleId="Kontuurtabel">
    <w:name w:val="Table Grid"/>
    <w:basedOn w:val="Normaaltabel"/>
    <w:uiPriority w:val="39"/>
    <w:rsid w:val="0084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852D7"/>
    <w:pPr>
      <w:tabs>
        <w:tab w:val="center" w:pos="4536"/>
        <w:tab w:val="right" w:pos="9072"/>
      </w:tabs>
      <w:spacing w:after="0" w:line="240" w:lineRule="auto"/>
    </w:pPr>
  </w:style>
  <w:style w:type="character" w:customStyle="1" w:styleId="PisMrk">
    <w:name w:val="Päis Märk"/>
    <w:basedOn w:val="Liguvaikefont"/>
    <w:link w:val="Pis"/>
    <w:uiPriority w:val="99"/>
    <w:rsid w:val="002852D7"/>
  </w:style>
  <w:style w:type="paragraph" w:styleId="Jalus">
    <w:name w:val="footer"/>
    <w:basedOn w:val="Normaallaad"/>
    <w:link w:val="JalusMrk"/>
    <w:uiPriority w:val="99"/>
    <w:unhideWhenUsed/>
    <w:rsid w:val="002852D7"/>
    <w:pPr>
      <w:tabs>
        <w:tab w:val="center" w:pos="4536"/>
        <w:tab w:val="right" w:pos="9072"/>
      </w:tabs>
      <w:spacing w:after="0" w:line="240" w:lineRule="auto"/>
    </w:pPr>
  </w:style>
  <w:style w:type="character" w:customStyle="1" w:styleId="JalusMrk">
    <w:name w:val="Jalus Märk"/>
    <w:basedOn w:val="Liguvaikefont"/>
    <w:link w:val="Jalus"/>
    <w:uiPriority w:val="99"/>
    <w:rsid w:val="0028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688">
      <w:bodyDiv w:val="1"/>
      <w:marLeft w:val="0"/>
      <w:marRight w:val="0"/>
      <w:marTop w:val="0"/>
      <w:marBottom w:val="0"/>
      <w:divBdr>
        <w:top w:val="none" w:sz="0" w:space="0" w:color="auto"/>
        <w:left w:val="none" w:sz="0" w:space="0" w:color="auto"/>
        <w:bottom w:val="none" w:sz="0" w:space="0" w:color="auto"/>
        <w:right w:val="none" w:sz="0" w:space="0" w:color="auto"/>
      </w:divBdr>
    </w:div>
    <w:div w:id="112526046">
      <w:bodyDiv w:val="1"/>
      <w:marLeft w:val="0"/>
      <w:marRight w:val="0"/>
      <w:marTop w:val="0"/>
      <w:marBottom w:val="0"/>
      <w:divBdr>
        <w:top w:val="none" w:sz="0" w:space="0" w:color="auto"/>
        <w:left w:val="none" w:sz="0" w:space="0" w:color="auto"/>
        <w:bottom w:val="none" w:sz="0" w:space="0" w:color="auto"/>
        <w:right w:val="none" w:sz="0" w:space="0" w:color="auto"/>
      </w:divBdr>
    </w:div>
    <w:div w:id="319583470">
      <w:bodyDiv w:val="1"/>
      <w:marLeft w:val="0"/>
      <w:marRight w:val="0"/>
      <w:marTop w:val="0"/>
      <w:marBottom w:val="0"/>
      <w:divBdr>
        <w:top w:val="none" w:sz="0" w:space="0" w:color="auto"/>
        <w:left w:val="none" w:sz="0" w:space="0" w:color="auto"/>
        <w:bottom w:val="none" w:sz="0" w:space="0" w:color="auto"/>
        <w:right w:val="none" w:sz="0" w:space="0" w:color="auto"/>
      </w:divBdr>
    </w:div>
    <w:div w:id="7159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5497-BEE1-4DA3-8327-2375E210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2449</Words>
  <Characters>14209</Characters>
  <Application>Microsoft Office Word</Application>
  <DocSecurity>0</DocSecurity>
  <Lines>118</Lines>
  <Paragraphs>33</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Johanson</dc:creator>
  <cp:keywords/>
  <dc:description/>
  <cp:lastModifiedBy>Age Inkinen</cp:lastModifiedBy>
  <cp:revision>14</cp:revision>
  <cp:lastPrinted>2023-12-11T08:28:00Z</cp:lastPrinted>
  <dcterms:created xsi:type="dcterms:W3CDTF">2024-02-13T12:14:00Z</dcterms:created>
  <dcterms:modified xsi:type="dcterms:W3CDTF">2024-02-14T07:58:00Z</dcterms:modified>
</cp:coreProperties>
</file>